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64.png" ContentType="image/png"/>
  <Override PartName="/word/media/rId370.png" ContentType="image/png"/>
  <Override PartName="/word/media/rId377.png" ContentType="image/png"/>
  <Override PartName="/word/media/rId385.png" ContentType="image/png"/>
  <Override PartName="/word/media/rId394.png" ContentType="image/png"/>
  <Override PartName="/word/media/rId268.png" ContentType="image/png"/>
  <Override PartName="/word/media/rId287.png" ContentType="image/png"/>
  <Override PartName="/word/media/rId321.png" ContentType="image/png"/>
  <Override PartName="/word/media/rId326.png" ContentType="image/png"/>
  <Override PartName="/word/media/rId330.png" ContentType="image/png"/>
  <Override PartName="/word/media/rId334.png" ContentType="image/png"/>
  <Override PartName="/word/media/rId340.png" ContentType="image/png"/>
  <Override PartName="/word/media/rId350.png" ContentType="image/png"/>
  <Override PartName="/word/media/rId357.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62"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below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11.1: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1.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above.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below).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9"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below highlight the</w:t>
      </w:r>
      <w:r>
        <w:t xml:space="preserve"> </w:t>
      </w:r>
      <w:r>
        <w:t xml:space="preserve">geodesics between Kiko and Mega for both undirected and directed</w:t>
      </w:r>
      <w:r>
        <w:t xml:space="preserve"> </w:t>
      </w:r>
      <w:r>
        <w:t xml:space="preserve">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below; this is a</w:t>
      </w:r>
      <w:r>
        <w:t xml:space="preserve"> </w:t>
      </w:r>
      <w:r>
        <w:t xml:space="preserve">special 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the above figures are connected graphs. Note that while not every</w:t>
      </w:r>
      <w:r>
        <w:t xml:space="preserve"> </w:t>
      </w:r>
      <w:r>
        <w:t xml:space="preserve">connected graph is a complete graph, all complete graphs are connected</w:t>
      </w:r>
      <w:r>
        <w:t xml:space="preserve"> </w:t>
      </w:r>
      <w:r>
        <w:t xml:space="preserve">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below is a disconnected graph with three</w:t>
      </w:r>
      <w:r>
        <w:t xml:space="preserve"> </w:t>
      </w:r>
      <w:r>
        <w:t xml:space="preserve">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5"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above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w:t>
      </w:r>
      <w:r>
        <w:t xml:space="preserve"> </w:t>
      </w:r>
      <w:r>
        <w:t xml:space="preserve">@ref(fig:fig11-8) with each node’s degree labeled); in this network, if</w:t>
      </w:r>
      <w:r>
        <w:t xml:space="preserve"> </w:t>
      </w:r>
      <w:r>
        <w:t xml:space="preserve">Parveen is connected to Inge, Nyasha, Orla, Quinn, and Tracy, then</w:t>
      </w:r>
      <w:r>
        <w:t xml:space="preserve"> </w:t>
      </w:r>
      <w:r>
        <w:t xml:space="preserve">Parveen has a degree of</w:t>
      </w:r>
      <w:r>
        <w:t xml:space="preserve"> </w:t>
      </w:r>
      <m:oMath>
        <m:r>
          <m:t>5</m:t>
        </m:r>
      </m:oMath>
      <w:r>
        <w:t xml:space="preserve">.</w:t>
      </w:r>
    </w:p>
    <w:p>
      <w:pPr>
        <w:pStyle w:val="CaptionedFigure"/>
      </w:pPr>
      <w:bookmarkStart w:id="316" w:name="fig:11-8"/>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bookmarkEnd w:id="316"/>
    </w:p>
    <w:p>
      <w:pPr>
        <w:pStyle w:val="ImageCaption"/>
      </w:pPr>
      <w:r>
        <w:t xml:space="preserve">Degree as measured in undirected (left) and directed (indegree,</w:t>
      </w:r>
      <w:r>
        <w:t xml:space="preserve"> </w:t>
      </w:r>
      <w:r>
        <w:t xml:space="preserve">center; and outdegree, right)</w:t>
      </w:r>
      <w:r>
        <w:t xml:space="preserve"> </w:t>
      </w:r>
      <w:r>
        <w:t xml:space="preserve">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@ref(fig:fig11-8) and</w:t>
      </w:r>
      <w:r>
        <w:t xml:space="preserve"> </w:t>
      </w:r>
      <w:r>
        <w:t xml:space="preserve">@ref(fig:fig11-9), respectively). In this network, the students Inge,</w:t>
      </w:r>
      <w:r>
        <w:t xml:space="preserve"> </w:t>
      </w:r>
      <w:r>
        <w:t xml:space="preserve">Nyasha, Orla, Quinn, and Tracy consider Parveen to be a friend, so</w:t>
      </w:r>
      <w:r>
        <w:t xml:space="preserve"> </w:t>
      </w:r>
      <w:r>
        <w:t xml:space="preserve">Parveen has an indegree of</w:t>
      </w:r>
      <w:r>
        <w:t xml:space="preserve"> </w:t>
      </w:r>
      <m:oMath>
        <m:r>
          <m:t>5</m:t>
        </m:r>
      </m:oMath>
      <w:r>
        <w:t xml:space="preserve">. Parveen, in turn, considers only Inge,</w:t>
      </w:r>
      <w:r>
        <w:t xml:space="preserve"> </w:t>
      </w:r>
      <w:r>
        <w:t xml:space="preserve">Nyasha, and Tracy to be friends 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@ref(fig:fig11-9). The concept of degree</w:t>
      </w:r>
      <w:r>
        <w:t xml:space="preserve"> </w:t>
      </w:r>
      <w:r>
        <w:t xml:space="preserve">distribution will be important later when we discuss</w:t>
      </w:r>
      <w:r>
        <w:t xml:space="preserve"> </w:t>
      </w:r>
      <w:r>
        <w:rPr>
          <w:iCs/>
          <w:i/>
        </w:rPr>
        <w:t xml:space="preserve">power-law</w:t>
      </w:r>
      <w:r>
        <w:rPr>
          <w:iCs/>
          <w:i/>
        </w:rPr>
        <w:t xml:space="preserve"> </w:t>
      </w:r>
      <w:r>
        <w:rPr>
          <w:iCs/>
          <w:i/>
        </w:rPr>
        <w:t xml:space="preserve">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bookmarkStart w:id="320" w:name="fig:fig11-9"/>
      <w:r>
        <w:drawing>
          <wp:inline>
            <wp:extent cx="5334000" cy="3159537"/>
            <wp:effectExtent b="0" l="0" r="0" t="0"/>
            <wp:docPr descr="A histogram of the degree distribution for the undirected friendship network shows that there are two nodes with degree 1, four with degree 2, and one each with degrees 3, 4, or 5" title="" id="318" name="Picture"/>
            <a:graphic>
              <a:graphicData uri="http://schemas.openxmlformats.org/drawingml/2006/picture">
                <pic:pic>
                  <pic:nvPicPr>
                    <pic:cNvPr descr="images/social-networks/11-9.png" id="319" name="Picture"/>
                    <pic:cNvPicPr>
                      <a:picLocks noChangeArrowheads="1" noChangeAspect="1"/>
                    </pic:cNvPicPr>
                  </pic:nvPicPr>
                  <pic:blipFill>
                    <a:blip r:embed="rId317"/>
                    <a:stretch>
                      <a:fillRect/>
                    </a:stretch>
                  </pic:blipFill>
                  <pic:spPr bwMode="auto">
                    <a:xfrm>
                      <a:off x="0" y="0"/>
                      <a:ext cx="5334000" cy="3159537"/>
                    </a:xfrm>
                    <a:prstGeom prst="rect">
                      <a:avLst/>
                    </a:prstGeom>
                    <a:noFill/>
                    <a:ln w="9525">
                      <a:noFill/>
                      <a:headEnd/>
                      <a:tailEnd/>
                    </a:ln>
                  </pic:spPr>
                </pic:pic>
              </a:graphicData>
            </a:graphic>
          </wp:inline>
        </w:drawing>
      </w:r>
      <w:bookmarkEnd w:id="320"/>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@ref(fig:fig11-10) (with</w:t>
      </w:r>
      <w:r>
        <w:t xml:space="preserve"> </w:t>
      </w:r>
      <w:r>
        <w:t xml:space="preserve">undefined values 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bookmarkStart w:id="324" w:name="fig:fig11-10"/>
      <w:r>
        <w:drawing>
          <wp:inline>
            <wp:extent cx="4543425" cy="4724400"/>
            <wp:effectExtent b="0" l="0" r="0" t="0"/>
            <wp:docPr descr="Local transitivity for the undirected friendship network (with global transitivity = 0.3913 and average local transitivity = 0.5407)" title="" id="322" name="Picture"/>
            <a:graphic>
              <a:graphicData uri="http://schemas.openxmlformats.org/drawingml/2006/picture">
                <pic:pic>
                  <pic:nvPicPr>
                    <pic:cNvPr descr="images/social-networks/11-10.png" id="323" name="Picture"/>
                    <pic:cNvPicPr>
                      <a:picLocks noChangeArrowheads="1" noChangeAspect="1"/>
                    </pic:cNvPicPr>
                  </pic:nvPicPr>
                  <pic:blipFill>
                    <a:blip r:embed="rId321"/>
                    <a:stretch>
                      <a:fillRect/>
                    </a:stretch>
                  </pic:blipFill>
                  <pic:spPr bwMode="auto">
                    <a:xfrm>
                      <a:off x="0" y="0"/>
                      <a:ext cx="4543425" cy="4724400"/>
                    </a:xfrm>
                    <a:prstGeom prst="rect">
                      <a:avLst/>
                    </a:prstGeom>
                    <a:noFill/>
                    <a:ln w="9525">
                      <a:noFill/>
                      <a:headEnd/>
                      <a:tailEnd/>
                    </a:ln>
                  </pic:spPr>
                </pic:pic>
              </a:graphicData>
            </a:graphic>
          </wp:inline>
        </w:drawing>
      </w:r>
      <w:bookmarkEnd w:id="324"/>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5"/>
    <w:bookmarkStart w:id="338"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@ref(fig:fig11-11) shows a</w:t>
      </w:r>
      <w:r>
        <w:t xml:space="preserve"> </w:t>
      </w:r>
      <w:r>
        <w:t xml:space="preserve">geographic network with</w:t>
      </w:r>
      <w:r>
        <w:t xml:space="preserve"> </w:t>
      </w:r>
      <m:oMath>
        <m:r>
          <m:t>k</m:t>
        </m:r>
        <m:r>
          <m:rPr>
            <m:sty m:val="p"/>
          </m:rPr>
          <m:t>=</m:t>
        </m:r>
        <m:r>
          <m:t>4</m:t>
        </m:r>
      </m:oMath>
      <w:r>
        <w:t xml:space="preserve">.</w:t>
      </w:r>
    </w:p>
    <w:p>
      <w:pPr>
        <w:pStyle w:val="CaptionedFigure"/>
      </w:pPr>
      <w:bookmarkStart w:id="329" w:name="fig:fig11-11"/>
      <w:r>
        <w:drawing>
          <wp:inline>
            <wp:extent cx="5324475" cy="5495925"/>
            <wp:effectExtent b="0" l="0" r="0" t="0"/>
            <wp:docPr descr="A geographic network with k = 4. Each node is connected to its four closest neighbors" title="" id="327" name="Picture"/>
            <a:graphic>
              <a:graphicData uri="http://schemas.openxmlformats.org/drawingml/2006/picture">
                <pic:pic>
                  <pic:nvPicPr>
                    <pic:cNvPr descr="images/social-networks/11-11.png" id="328" name="Picture"/>
                    <pic:cNvPicPr>
                      <a:picLocks noChangeArrowheads="1" noChangeAspect="1"/>
                    </pic:cNvPicPr>
                  </pic:nvPicPr>
                  <pic:blipFill>
                    <a:blip r:embed="rId326"/>
                    <a:stretch>
                      <a:fillRect/>
                    </a:stretch>
                  </pic:blipFill>
                  <pic:spPr bwMode="auto">
                    <a:xfrm>
                      <a:off x="0" y="0"/>
                      <a:ext cx="5324475" cy="5495925"/>
                    </a:xfrm>
                    <a:prstGeom prst="rect">
                      <a:avLst/>
                    </a:prstGeom>
                    <a:noFill/>
                    <a:ln w="9525">
                      <a:noFill/>
                      <a:headEnd/>
                      <a:tailEnd/>
                    </a:ln>
                  </pic:spPr>
                </pic:pic>
              </a:graphicData>
            </a:graphic>
          </wp:inline>
        </w:drawing>
      </w:r>
      <w:bookmarkEnd w:id="329"/>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@ref(fig:fig11-12) shows a random graph of</w:t>
      </w:r>
      <w:r>
        <w:t xml:space="preserve"> </w:t>
      </w:r>
      <m:oMath>
        <m:r>
          <m:t>15</m:t>
        </m:r>
      </m:oMath>
      <w:r>
        <w:t xml:space="preserve"> </w:t>
      </w:r>
      <w:r>
        <w:t xml:space="preserve">nodes and 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bookmarkStart w:id="333" w:name="fig:fig11-12"/>
      <w:r>
        <w:drawing>
          <wp:inline>
            <wp:extent cx="5334000" cy="5343102"/>
            <wp:effectExtent b="0" l="0" r="0" t="0"/>
            <wp:docPr descr="A random network with N = 15 and p = 0:2" title="" id="331" name="Picture"/>
            <a:graphic>
              <a:graphicData uri="http://schemas.openxmlformats.org/drawingml/2006/picture">
                <pic:pic>
                  <pic:nvPicPr>
                    <pic:cNvPr descr="images/social-networks/11-12.png" id="332" name="Picture"/>
                    <pic:cNvPicPr>
                      <a:picLocks noChangeArrowheads="1" noChangeAspect="1"/>
                    </pic:cNvPicPr>
                  </pic:nvPicPr>
                  <pic:blipFill>
                    <a:blip r:embed="rId330"/>
                    <a:stretch>
                      <a:fillRect/>
                    </a:stretch>
                  </pic:blipFill>
                  <pic:spPr bwMode="auto">
                    <a:xfrm>
                      <a:off x="0" y="0"/>
                      <a:ext cx="5334000" cy="5343102"/>
                    </a:xfrm>
                    <a:prstGeom prst="rect">
                      <a:avLst/>
                    </a:prstGeom>
                    <a:noFill/>
                    <a:ln w="9525">
                      <a:noFill/>
                      <a:headEnd/>
                      <a:tailEnd/>
                    </a:ln>
                  </pic:spPr>
                </pic:pic>
              </a:graphicData>
            </a:graphic>
          </wp:inline>
        </w:drawing>
      </w:r>
      <w:bookmarkEnd w:id="333"/>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@ref(fig:fig11-13) shows two representations of the same</w:t>
      </w:r>
      <w:r>
        <w:t xml:space="preserve"> </w:t>
      </w:r>
      <w:r>
        <w:t xml:space="preserve">small-world network, one with a diameter of</w:t>
      </w:r>
      <w:r>
        <w:t xml:space="preserve"> </w:t>
      </w:r>
      <m:oMath>
        <m:r>
          <m:t>4</m:t>
        </m:r>
      </m:oMath>
      <w:r>
        <w:t xml:space="preserve">, mean degree centrality</w:t>
      </w:r>
      <w:r>
        <w:t xml:space="preserve"> </w:t>
      </w:r>
      <w:r>
        <w:t xml:space="preserve">of</w:t>
      </w:r>
      <w:r>
        <w:t xml:space="preserve"> </w:t>
      </w:r>
      <m:oMath>
        <m:r>
          <m:t>3.1</m:t>
        </m:r>
      </m:oMath>
      <w:r>
        <w:t xml:space="preserve"> </w:t>
      </w:r>
      <w:r>
        <w:t xml:space="preserve">and a global 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bookmarkStart w:id="337" w:name="fig:fig11-13"/>
      <w:r>
        <w:drawing>
          <wp:inline>
            <wp:extent cx="5334000" cy="2911305"/>
            <wp:effectExtent b="0" l="0" r="0" t="0"/>
            <wp:docPr descr="Sociograms of a single small-world network with N = 17 nodes. This graph has a diameter of 4, mean degree centrality of 3:1 and a global clustering coefficient of 0:155" title="" id="335" name="Picture"/>
            <a:graphic>
              <a:graphicData uri="http://schemas.openxmlformats.org/drawingml/2006/picture">
                <pic:pic>
                  <pic:nvPicPr>
                    <pic:cNvPr descr="images/social-networks/11-13.png" id="336" name="Picture"/>
                    <pic:cNvPicPr>
                      <a:picLocks noChangeArrowheads="1" noChangeAspect="1"/>
                    </pic:cNvPicPr>
                  </pic:nvPicPr>
                  <pic:blipFill>
                    <a:blip r:embed="rId334"/>
                    <a:stretch>
                      <a:fillRect/>
                    </a:stretch>
                  </pic:blipFill>
                  <pic:spPr bwMode="auto">
                    <a:xfrm>
                      <a:off x="0" y="0"/>
                      <a:ext cx="5334000" cy="2911305"/>
                    </a:xfrm>
                    <a:prstGeom prst="rect">
                      <a:avLst/>
                    </a:prstGeom>
                    <a:noFill/>
                    <a:ln w="9525">
                      <a:noFill/>
                      <a:headEnd/>
                      <a:tailEnd/>
                    </a:ln>
                  </pic:spPr>
                </pic:pic>
              </a:graphicData>
            </a:graphic>
          </wp:inline>
        </w:drawing>
      </w:r>
      <w:bookmarkEnd w:id="337"/>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w:t>
      </w:r>
      <w:r>
        <w:t xml:space="preserve"> </w:t>
      </w:r>
      <w:r>
        <w:t xml:space="preserve">0:155</w:t>
      </w:r>
    </w:p>
    <w:bookmarkEnd w:id="338"/>
    <w:bookmarkEnd w:id="339"/>
    <w:bookmarkStart w:id="346"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44"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bookmarkStart w:id="343" w:name="fig:fig11-14"/>
      <w:r>
        <w:drawing>
          <wp:inline>
            <wp:extent cx="5334000" cy="2943398"/>
            <wp:effectExtent b="0" l="0" r="0" t="0"/>
            <wp:docPr descr="A sociogram and histogram of the corresponding degree distribution for a power-law network" title="" id="341" name="Picture"/>
            <a:graphic>
              <a:graphicData uri="http://schemas.openxmlformats.org/drawingml/2006/picture">
                <pic:pic>
                  <pic:nvPicPr>
                    <pic:cNvPr descr="images/social-networks/11-14.png" id="342" name="Picture"/>
                    <pic:cNvPicPr>
                      <a:picLocks noChangeArrowheads="1" noChangeAspect="1"/>
                    </pic:cNvPicPr>
                  </pic:nvPicPr>
                  <pic:blipFill>
                    <a:blip r:embed="rId340"/>
                    <a:stretch>
                      <a:fillRect/>
                    </a:stretch>
                  </pic:blipFill>
                  <pic:spPr bwMode="auto">
                    <a:xfrm>
                      <a:off x="0" y="0"/>
                      <a:ext cx="5334000" cy="2943398"/>
                    </a:xfrm>
                    <a:prstGeom prst="rect">
                      <a:avLst/>
                    </a:prstGeom>
                    <a:noFill/>
                    <a:ln w="9525">
                      <a:noFill/>
                      <a:headEnd/>
                      <a:tailEnd/>
                    </a:ln>
                  </pic:spPr>
                </pic:pic>
              </a:graphicData>
            </a:graphic>
          </wp:inline>
        </w:drawing>
      </w:r>
      <w:bookmarkEnd w:id="343"/>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44"/>
    <w:bookmarkStart w:id="345"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45"/>
    <w:bookmarkEnd w:id="346"/>
    <w:bookmarkStart w:id="347"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7"/>
    <w:bookmarkStart w:id="348"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8"/>
    <w:bookmarkStart w:id="349"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9"/>
    <w:bookmarkStart w:id="354"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bookmarkStart w:id="353" w:name="fig:fig11-15"/>
      <w:r>
        <w:drawing>
          <wp:inline>
            <wp:extent cx="5334000" cy="2977471"/>
            <wp:effectExtent b="0" l="0" r="0" t="0"/>
            <wp:docPr descr="Sociograms for Questions 2 (left) and 3 (right)" title="" id="351" name="Picture"/>
            <a:graphic>
              <a:graphicData uri="http://schemas.openxmlformats.org/drawingml/2006/picture">
                <pic:pic>
                  <pic:nvPicPr>
                    <pic:cNvPr descr="images/social-networks/11-15.png" id="352" name="Picture"/>
                    <pic:cNvPicPr>
                      <a:picLocks noChangeArrowheads="1" noChangeAspect="1"/>
                    </pic:cNvPicPr>
                  </pic:nvPicPr>
                  <pic:blipFill>
                    <a:blip r:embed="rId350"/>
                    <a:stretch>
                      <a:fillRect/>
                    </a:stretch>
                  </pic:blipFill>
                  <pic:spPr bwMode="auto">
                    <a:xfrm>
                      <a:off x="0" y="0"/>
                      <a:ext cx="5334000" cy="2977471"/>
                    </a:xfrm>
                    <a:prstGeom prst="rect">
                      <a:avLst/>
                    </a:prstGeom>
                    <a:noFill/>
                    <a:ln w="9525">
                      <a:noFill/>
                      <a:headEnd/>
                      <a:tailEnd/>
                    </a:ln>
                  </pic:spPr>
                </pic:pic>
              </a:graphicData>
            </a:graphic>
          </wp:inline>
        </w:drawing>
      </w:r>
      <w:bookmarkEnd w:id="353"/>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54"/>
    <w:bookmarkStart w:id="355"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@ref(fig:fig11-15), compute the</w:t>
      </w:r>
      <w:r>
        <w:t xml:space="preserve"> </w:t>
      </w:r>
      <w:r>
        <w:t xml:space="preserve">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@ref(fig:fig11-15):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55"/>
    <w:bookmarkStart w:id="356"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56"/>
    <w:bookmarkStart w:id="361"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@ref(fig:fig11-5),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@ref(fig:fig11-15):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@ref(fig:11-16) for the highlighted path. The</w:t>
      </w:r>
      <w:r>
        <w:t xml:space="preserve"> </w:t>
      </w:r>
      <w:r>
        <w:t xml:space="preserve">geodesic, or 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 has a path length of</w:t>
      </w:r>
      <w:r>
        <w:t xml:space="preserve"> </w:t>
      </w:r>
      <m:oMath>
        <m:r>
          <m:t>3</m:t>
        </m:r>
      </m:oMath>
      <w:r>
        <w:t xml:space="preserve">. This metric is</w:t>
      </w:r>
      <w:r>
        <w:t xml:space="preserve"> </w:t>
      </w:r>
      <w:r>
        <w:t xml:space="preserve">called the</w:t>
      </w:r>
      <w:r>
        <w:t xml:space="preserve"> </w:t>
      </w:r>
      <w:r>
        <w:rPr>
          <w:iCs/>
          <w:i/>
        </w:rPr>
        <w:t xml:space="preserve">geodesic 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bookmarkStart w:id="360" w:name="fig:fig11-16"/>
      <w:r>
        <w:drawing>
          <wp:inline>
            <wp:extent cx="5334000" cy="5324642"/>
            <wp:effectExtent b="0" l="0" r="0" t="0"/>
            <wp:docPr descr="Highlighted geodesic between 1 and 7" title="" id="358" name="Picture"/>
            <a:graphic>
              <a:graphicData uri="http://schemas.openxmlformats.org/drawingml/2006/picture">
                <pic:pic>
                  <pic:nvPicPr>
                    <pic:cNvPr descr="images/social-networks/11-16.png" id="359" name="Picture"/>
                    <pic:cNvPicPr>
                      <a:picLocks noChangeArrowheads="1" noChangeAspect="1"/>
                    </pic:cNvPicPr>
                  </pic:nvPicPr>
                  <pic:blipFill>
                    <a:blip r:embed="rId357"/>
                    <a:stretch>
                      <a:fillRect/>
                    </a:stretch>
                  </pic:blipFill>
                  <pic:spPr bwMode="auto">
                    <a:xfrm>
                      <a:off x="0" y="0"/>
                      <a:ext cx="5334000" cy="5324642"/>
                    </a:xfrm>
                    <a:prstGeom prst="rect">
                      <a:avLst/>
                    </a:prstGeom>
                    <a:noFill/>
                    <a:ln w="9525">
                      <a:noFill/>
                      <a:headEnd/>
                      <a:tailEnd/>
                    </a:ln>
                  </pic:spPr>
                </pic:pic>
              </a:graphicData>
            </a:graphic>
          </wp:inline>
        </w:drawing>
      </w:r>
      <w:bookmarkEnd w:id="360"/>
    </w:p>
    <w:p>
      <w:pPr>
        <w:pStyle w:val="ImageCaption"/>
      </w:pPr>
      <w:r>
        <w:t xml:space="preserve">Highlighted geodesic between 1 and</w:t>
      </w:r>
      <w:r>
        <w:t xml:space="preserve"> </w:t>
      </w:r>
      <w:r>
        <w:t xml:space="preserve">7</w:t>
      </w:r>
    </w:p>
    <w:bookmarkEnd w:id="361"/>
    <w:bookmarkEnd w:id="362"/>
    <w:bookmarkStart w:id="420" w:name="machine-learning"/>
    <w:p>
      <w:pPr>
        <w:pStyle w:val="Heading1"/>
      </w:pPr>
      <w:r>
        <w:t xml:space="preserve">Machine Learning</w:t>
      </w:r>
    </w:p>
    <w:p>
      <w:pPr>
        <w:pStyle w:val="FirstParagraph"/>
      </w:pPr>
      <w:r>
        <w:rPr>
          <w:bCs/>
          <w:b/>
        </w:rPr>
        <w:t xml:space="preserve">By John J. Lee</w:t>
      </w:r>
    </w:p>
    <w:bookmarkStart w:id="36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63">
        <w:r>
          <w:rPr>
            <w:rStyle w:val="Hyperlink"/>
          </w:rPr>
          <w:t xml:space="preserve">Coursera</w:t>
        </w:r>
      </w:hyperlink>
      <w:r>
        <w:t xml:space="preserve">).</w:t>
      </w:r>
    </w:p>
    <w:p>
      <w:pPr>
        <w:pStyle w:val="CaptionedFigure"/>
      </w:pPr>
      <w:bookmarkStart w:id="367" w:name="fig:jl-figure1"/>
      <w:r>
        <w:drawing>
          <wp:inline>
            <wp:extent cx="4399351" cy="2190750"/>
            <wp:effectExtent b="0" l="0" r="0" t="0"/>
            <wp:docPr descr="Traditional Programming v. Machine Learning" title="" id="365" name="Picture"/>
            <a:graphic>
              <a:graphicData uri="http://schemas.openxmlformats.org/drawingml/2006/picture">
                <pic:pic>
                  <pic:nvPicPr>
                    <pic:cNvPr descr="images/ml/jl-figure1.png" id="366" name="Picture"/>
                    <pic:cNvPicPr>
                      <a:picLocks noChangeArrowheads="1" noChangeAspect="1"/>
                    </pic:cNvPicPr>
                  </pic:nvPicPr>
                  <pic:blipFill>
                    <a:blip r:embed="rId364"/>
                    <a:stretch>
                      <a:fillRect/>
                    </a:stretch>
                  </pic:blipFill>
                  <pic:spPr bwMode="auto">
                    <a:xfrm>
                      <a:off x="0" y="0"/>
                      <a:ext cx="4399351" cy="2190750"/>
                    </a:xfrm>
                    <a:prstGeom prst="rect">
                      <a:avLst/>
                    </a:prstGeom>
                    <a:noFill/>
                    <a:ln w="9525">
                      <a:noFill/>
                      <a:headEnd/>
                      <a:tailEnd/>
                    </a:ln>
                  </pic:spPr>
                </pic:pic>
              </a:graphicData>
            </a:graphic>
          </wp:inline>
        </w:drawing>
      </w:r>
      <w:bookmarkEnd w:id="367"/>
    </w:p>
    <w:p>
      <w:pPr>
        <w:pStyle w:val="ImageCaption"/>
      </w:pPr>
      <w:r>
        <w:t xml:space="preserve">Traditional Programming v. Machine</w:t>
      </w:r>
      <w:r>
        <w:t xml:space="preserve"> </w:t>
      </w:r>
      <w:r>
        <w:t xml:space="preserve">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w:t>
      </w:r>
      <w:r>
        <w:t xml:space="preserve"> </w:t>
      </w:r>
      <w:r>
        <w:t xml:space="preserve">@ref(fig:jl-figure1) provides an 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68"/>
    <w:bookmarkStart w:id="390" w:name="background-3"/>
    <w:p>
      <w:pPr>
        <w:pStyle w:val="Heading2"/>
      </w:pPr>
      <w:r>
        <w:t xml:space="preserve">Background</w:t>
      </w:r>
    </w:p>
    <w:bookmarkStart w:id="36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69"/>
    <w:bookmarkStart w:id="375"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w:t>
      </w:r>
      <w:r>
        <w:t xml:space="preserve"> </w:t>
      </w:r>
      <w:r>
        <w:t xml:space="preserve">@ref(fig:jl-figure2) provides an illustration of this idea. In this</w:t>
      </w:r>
      <w:r>
        <w:t xml:space="preserve"> </w:t>
      </w:r>
      <w:r>
        <w:t xml:space="preserve">example, the true relationship 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w:t>
      </w:r>
      <w:r>
        <w:t xml:space="preserve"> </w:t>
      </w:r>
      <w:r>
        <w:t xml:space="preserve">the graph in the middle); we know this for certain because these data</w:t>
      </w:r>
      <w:r>
        <w:t xml:space="preserve"> </w:t>
      </w:r>
      <w:r>
        <w:t xml:space="preserve">were simulated.</w:t>
      </w:r>
    </w:p>
    <w:p>
      <w:pPr>
        <w:pStyle w:val="CaptionedFigure"/>
      </w:pPr>
      <w:bookmarkStart w:id="373" w:name="fig:jl-figure2"/>
      <w:r>
        <w:drawing>
          <wp:inline>
            <wp:extent cx="4623155" cy="2046209"/>
            <wp:effectExtent b="0" l="0" r="0" t="0"/>
            <wp:docPr descr="Modeling True Relationship v. Overfitting" title="" id="371" name="Picture"/>
            <a:graphic>
              <a:graphicData uri="http://schemas.openxmlformats.org/drawingml/2006/picture">
                <pic:pic>
                  <pic:nvPicPr>
                    <pic:cNvPr descr="images/ml/jl-figure2.png" id="372" name="Picture"/>
                    <pic:cNvPicPr>
                      <a:picLocks noChangeArrowheads="1" noChangeAspect="1"/>
                    </pic:cNvPicPr>
                  </pic:nvPicPr>
                  <pic:blipFill>
                    <a:blip r:embed="rId370"/>
                    <a:stretch>
                      <a:fillRect/>
                    </a:stretch>
                  </pic:blipFill>
                  <pic:spPr bwMode="auto">
                    <a:xfrm>
                      <a:off x="0" y="0"/>
                      <a:ext cx="4623155" cy="2046209"/>
                    </a:xfrm>
                    <a:prstGeom prst="rect">
                      <a:avLst/>
                    </a:prstGeom>
                    <a:noFill/>
                    <a:ln w="9525">
                      <a:noFill/>
                      <a:headEnd/>
                      <a:tailEnd/>
                    </a:ln>
                  </pic:spPr>
                </pic:pic>
              </a:graphicData>
            </a:graphic>
          </wp:inline>
        </w:drawing>
      </w:r>
      <w:bookmarkEnd w:id="373"/>
    </w:p>
    <w:p>
      <w:pPr>
        <w:pStyle w:val="ImageCaption"/>
      </w:pPr>
      <w:r>
        <w:t xml:space="preserve">Modeling True Relationship v.</w:t>
      </w:r>
      <w:r>
        <w:t xml:space="preserve"> </w:t>
      </w:r>
      <w:r>
        <w:t xml:space="preserve">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74"/>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75"/>
    <w:bookmarkStart w:id="381"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76"/>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bookmarkStart w:id="380" w:name="fig:jl-figure3"/>
      <w:r>
        <w:drawing>
          <wp:inline>
            <wp:extent cx="4623155" cy="2046209"/>
            <wp:effectExtent b="0" l="0" r="0" t="0"/>
            <wp:docPr descr="Bias-Variance Trade-offs" title="" id="378" name="Picture"/>
            <a:graphic>
              <a:graphicData uri="http://schemas.openxmlformats.org/drawingml/2006/picture">
                <pic:pic>
                  <pic:nvPicPr>
                    <pic:cNvPr descr="images/ml/jl-figure3.png" id="379" name="Picture"/>
                    <pic:cNvPicPr>
                      <a:picLocks noChangeArrowheads="1" noChangeAspect="1"/>
                    </pic:cNvPicPr>
                  </pic:nvPicPr>
                  <pic:blipFill>
                    <a:blip r:embed="rId377"/>
                    <a:stretch>
                      <a:fillRect/>
                    </a:stretch>
                  </pic:blipFill>
                  <pic:spPr bwMode="auto">
                    <a:xfrm>
                      <a:off x="0" y="0"/>
                      <a:ext cx="4623155" cy="2046209"/>
                    </a:xfrm>
                    <a:prstGeom prst="rect">
                      <a:avLst/>
                    </a:prstGeom>
                    <a:noFill/>
                    <a:ln w="9525">
                      <a:noFill/>
                      <a:headEnd/>
                      <a:tailEnd/>
                    </a:ln>
                  </pic:spPr>
                </pic:pic>
              </a:graphicData>
            </a:graphic>
          </wp:inline>
        </w:drawing>
      </w:r>
      <w:bookmarkEnd w:id="380"/>
    </w:p>
    <w:p>
      <w:pPr>
        <w:pStyle w:val="ImageCaption"/>
      </w:pPr>
      <w:r>
        <w:t xml:space="preserve">Bias-Variance Trade-offs</w:t>
      </w:r>
    </w:p>
    <w:p>
      <w:pPr>
        <w:pStyle w:val="BodyText"/>
      </w:pPr>
      <w:r>
        <w:t xml:space="preserve">Figure @ref(fig:jl-figure3) provides an illustration of this idea. The</w:t>
      </w:r>
      <w:r>
        <w:t xml:space="preserve"> </w:t>
      </w:r>
      <w:r>
        <w:t xml:space="preserve">first model is 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81"/>
    <w:bookmarkStart w:id="382"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82"/>
    <w:bookmarkStart w:id="389"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83"/>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84"/>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@ref(fig:jl-figure4) provides an illustration of how</w:t>
      </w:r>
      <w:r>
        <w:t xml:space="preserve"> </w:t>
      </w:r>
      <w:r>
        <w:t xml:space="preserve">we may organize machine learning methods by type and subtype. Please</w:t>
      </w:r>
      <w:r>
        <w:t xml:space="preserve"> </w:t>
      </w:r>
      <w:r>
        <w:t xml:space="preserve">note that the list of examples is not meant to be exhaustive.</w:t>
      </w:r>
    </w:p>
    <w:p>
      <w:pPr>
        <w:pStyle w:val="CaptionedFigure"/>
      </w:pPr>
      <w:bookmarkStart w:id="388" w:name="fig:jl-figure4"/>
      <w:r>
        <w:drawing>
          <wp:inline>
            <wp:extent cx="5334000" cy="3458110"/>
            <wp:effectExtent b="0" l="0" r="0" t="0"/>
            <wp:docPr descr="Types of Machine Learning Methods" title="" id="386" name="Picture"/>
            <a:graphic>
              <a:graphicData uri="http://schemas.openxmlformats.org/drawingml/2006/picture">
                <pic:pic>
                  <pic:nvPicPr>
                    <pic:cNvPr descr="images/ml/jl-figure4.png" id="387" name="Picture"/>
                    <pic:cNvPicPr>
                      <a:picLocks noChangeArrowheads="1" noChangeAspect="1"/>
                    </pic:cNvPicPr>
                  </pic:nvPicPr>
                  <pic:blipFill>
                    <a:blip r:embed="rId385"/>
                    <a:stretch>
                      <a:fillRect/>
                    </a:stretch>
                  </pic:blipFill>
                  <pic:spPr bwMode="auto">
                    <a:xfrm>
                      <a:off x="0" y="0"/>
                      <a:ext cx="5334000" cy="3458110"/>
                    </a:xfrm>
                    <a:prstGeom prst="rect">
                      <a:avLst/>
                    </a:prstGeom>
                    <a:noFill/>
                    <a:ln w="9525">
                      <a:noFill/>
                      <a:headEnd/>
                      <a:tailEnd/>
                    </a:ln>
                  </pic:spPr>
                </pic:pic>
              </a:graphicData>
            </a:graphic>
          </wp:inline>
        </w:drawing>
      </w:r>
      <w:bookmarkEnd w:id="388"/>
    </w:p>
    <w:p>
      <w:pPr>
        <w:pStyle w:val="ImageCaption"/>
      </w:pPr>
      <w:r>
        <w:t xml:space="preserve">Types of Machine Learning</w:t>
      </w:r>
      <w:r>
        <w:t xml:space="preserve"> </w:t>
      </w:r>
      <w:r>
        <w:t xml:space="preserve">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89"/>
    <w:bookmarkEnd w:id="390"/>
    <w:bookmarkStart w:id="393"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91"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91"/>
    <w:bookmarkStart w:id="392"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92"/>
    <w:bookmarkEnd w:id="393"/>
    <w:bookmarkStart w:id="403"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401"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@ref(fig:jl-figure5) below). Next, let us assume that among</w:t>
      </w:r>
      <w:r>
        <w:t xml:space="preserve"> </w:t>
      </w:r>
      <w:r>
        <w:t xml:space="preserve">white respondents, being above the mean on the 1-7 point political</w:t>
      </w:r>
      <w:r>
        <w:t xml:space="preserve"> </w:t>
      </w:r>
      <w:r>
        <w:t xml:space="preserve">conservatism scale is the strongest predictor of the Trump vote; if so,</w:t>
      </w:r>
      <w:r>
        <w:t xml:space="preserve"> </w:t>
      </w:r>
      <w:r>
        <w:t xml:space="preserve">then the second split would be based on whether the white respondents’</w:t>
      </w:r>
      <w:r>
        <w:t xml:space="preserve"> </w:t>
      </w:r>
      <w:r>
        <w:t xml:space="preserve">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w:t>
      </w:r>
      <w:r>
        <w:t xml:space="preserve"> </w:t>
      </w:r>
      <w:r>
        <w:t xml:space="preserve">branch).</w:t>
      </w:r>
    </w:p>
    <w:p>
      <w:pPr>
        <w:pStyle w:val="CaptionedFigure"/>
      </w:pPr>
      <w:bookmarkStart w:id="397" w:name="fig:jl-figure5"/>
      <w:r>
        <w:drawing>
          <wp:inline>
            <wp:extent cx="4354590" cy="2193281"/>
            <wp:effectExtent b="0" l="0" r="0" t="0"/>
            <wp:docPr descr="Example of a Decision Tree" title="" id="395" name="Picture"/>
            <a:graphic>
              <a:graphicData uri="http://schemas.openxmlformats.org/drawingml/2006/picture">
                <pic:pic>
                  <pic:nvPicPr>
                    <pic:cNvPr descr="images/ml/jl-figure5.png" id="396" name="Picture"/>
                    <pic:cNvPicPr>
                      <a:picLocks noChangeArrowheads="1" noChangeAspect="1"/>
                    </pic:cNvPicPr>
                  </pic:nvPicPr>
                  <pic:blipFill>
                    <a:blip r:embed="rId394"/>
                    <a:stretch>
                      <a:fillRect/>
                    </a:stretch>
                  </pic:blipFill>
                  <pic:spPr bwMode="auto">
                    <a:xfrm>
                      <a:off x="0" y="0"/>
                      <a:ext cx="4354590" cy="2193281"/>
                    </a:xfrm>
                    <a:prstGeom prst="rect">
                      <a:avLst/>
                    </a:prstGeom>
                    <a:noFill/>
                    <a:ln w="9525">
                      <a:noFill/>
                      <a:headEnd/>
                      <a:tailEnd/>
                    </a:ln>
                  </pic:spPr>
                </pic:pic>
              </a:graphicData>
            </a:graphic>
          </wp:inline>
        </w:drawing>
      </w:r>
      <w:bookmarkEnd w:id="397"/>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98"/>
      </w:r>
      <w:r>
        <w:t xml:space="preserve">, random forests</w:t>
      </w:r>
      <w:r>
        <w:rPr>
          <w:rStyle w:val="FootnoteReference"/>
        </w:rPr>
        <w:footnoteReference w:id="399"/>
      </w:r>
      <w:r>
        <w:t xml:space="preserve">, and boosting</w:t>
      </w:r>
      <w:r>
        <w:rPr>
          <w:rStyle w:val="FootnoteReference"/>
        </w:rPr>
        <w:footnoteReference w:id="400"/>
      </w:r>
    </w:p>
    <w:bookmarkEnd w:id="401"/>
    <w:bookmarkStart w:id="402"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402"/>
    <w:bookmarkEnd w:id="403"/>
    <w:bookmarkStart w:id="412"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405"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404"/>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405"/>
    <w:bookmarkStart w:id="407"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406"/>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407"/>
    <w:bookmarkStart w:id="408"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408"/>
    <w:bookmarkStart w:id="409"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409"/>
    <w:bookmarkStart w:id="410"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410"/>
    <w:bookmarkStart w:id="411"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411"/>
    <w:bookmarkEnd w:id="412"/>
    <w:bookmarkStart w:id="413"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413"/>
    <w:bookmarkStart w:id="414"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14"/>
    <w:bookmarkStart w:id="415"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15"/>
    <w:bookmarkStart w:id="416"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16"/>
    <w:bookmarkStart w:id="417"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17"/>
    <w:bookmarkStart w:id="418"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18"/>
    <w:bookmarkStart w:id="419"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19"/>
    <w:bookmarkEnd w:id="420"/>
    <w:bookmarkStart w:id="422"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21"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21"/>
    <w:bookmarkEnd w:id="422"/>
    <w:bookmarkStart w:id="427" w:name="mathematical-appendix"/>
    <w:p>
      <w:pPr>
        <w:pStyle w:val="Heading1"/>
      </w:pPr>
      <w:r>
        <w:t xml:space="preserve">Mathematical Appendix</w:t>
      </w:r>
    </w:p>
    <w:p>
      <w:pPr>
        <w:pStyle w:val="FirstParagraph"/>
      </w:pPr>
      <w:r>
        <w:rPr>
          <w:bCs/>
          <w:b/>
        </w:rPr>
        <w:t xml:space="preserve">By Maximilian Weylandt</w:t>
      </w:r>
    </w:p>
    <w:bookmarkStart w:id="423"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23"/>
    <w:bookmarkStart w:id="424"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24"/>
    <w:bookmarkStart w:id="425"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25"/>
    <w:bookmarkStart w:id="426"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26"/>
    <w:bookmarkEnd w:id="427"/>
    <w:bookmarkStart w:id="638" w:name="bibliography"/>
    <w:p>
      <w:pPr>
        <w:pStyle w:val="Heading1"/>
      </w:pPr>
      <w:r>
        <w:t xml:space="preserve">References</w:t>
      </w:r>
    </w:p>
    <w:bookmarkStart w:id="637" w:name="refs"/>
    <w:bookmarkStart w:id="429"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28">
        <w:r>
          <w:rPr>
            <w:rStyle w:val="Hyperlink"/>
          </w:rPr>
          <w:t xml:space="preserve">https://doi.org/10.1353/lar.0.0128</w:t>
        </w:r>
      </w:hyperlink>
      <w:r>
        <w:t xml:space="preserve">.</w:t>
      </w:r>
    </w:p>
    <w:bookmarkEnd w:id="429"/>
    <w:bookmarkStart w:id="430"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30"/>
    <w:bookmarkStart w:id="431"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31"/>
    <w:bookmarkStart w:id="433"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32">
        <w:r>
          <w:rPr>
            <w:rStyle w:val="Hyperlink"/>
          </w:rPr>
          <w:t xml:space="preserve">https://doi.org/10.1162/003355399556061</w:t>
        </w:r>
      </w:hyperlink>
      <w:r>
        <w:t xml:space="preserve">.</w:t>
      </w:r>
    </w:p>
    <w:bookmarkEnd w:id="433"/>
    <w:bookmarkStart w:id="435"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34">
        <w:r>
          <w:rPr>
            <w:rStyle w:val="Hyperlink"/>
          </w:rPr>
          <w:t xml:space="preserve">https://doi.org/10.3386/w23486</w:t>
        </w:r>
      </w:hyperlink>
      <w:r>
        <w:t xml:space="preserve">.</w:t>
      </w:r>
    </w:p>
    <w:bookmarkEnd w:id="435"/>
    <w:bookmarkStart w:id="436"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36"/>
    <w:bookmarkStart w:id="437"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37"/>
    <w:bookmarkStart w:id="438"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38"/>
    <w:bookmarkStart w:id="440"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39">
        <w:r>
          <w:rPr>
            <w:rStyle w:val="Hyperlink"/>
          </w:rPr>
          <w:t xml:space="preserve">https://doi.org/10.1073/pnas.0400087101</w:t>
        </w:r>
      </w:hyperlink>
      <w:r>
        <w:t xml:space="preserve">.</w:t>
      </w:r>
    </w:p>
    <w:bookmarkEnd w:id="440"/>
    <w:bookmarkStart w:id="441"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41"/>
    <w:bookmarkStart w:id="442"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42"/>
    <w:bookmarkStart w:id="443"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43"/>
    <w:bookmarkStart w:id="444"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44"/>
    <w:bookmarkStart w:id="446"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45">
        <w:r>
          <w:rPr>
            <w:rStyle w:val="Hyperlink"/>
          </w:rPr>
          <w:t xml:space="preserve">https://doi.org/10.1017/XPS.2018.3</w:t>
        </w:r>
      </w:hyperlink>
      <w:r>
        <w:t xml:space="preserve">.</w:t>
      </w:r>
    </w:p>
    <w:bookmarkEnd w:id="446"/>
    <w:bookmarkStart w:id="447"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47"/>
    <w:bookmarkStart w:id="448"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48"/>
    <w:bookmarkStart w:id="449"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49"/>
    <w:bookmarkStart w:id="451"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50">
        <w:r>
          <w:rPr>
            <w:rStyle w:val="Hyperlink"/>
          </w:rPr>
          <w:t xml:space="preserve">https://doi.org/10.1038/s41467-019-08746-5</w:t>
        </w:r>
      </w:hyperlink>
      <w:r>
        <w:t xml:space="preserve">.</w:t>
      </w:r>
    </w:p>
    <w:bookmarkEnd w:id="451"/>
    <w:bookmarkStart w:id="452"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52"/>
    <w:bookmarkStart w:id="454"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53">
        <w:r>
          <w:rPr>
            <w:rStyle w:val="Hyperlink"/>
          </w:rPr>
          <w:t xml:space="preserve">https://doi.org/10.1017/CBO9780511921452.035</w:t>
        </w:r>
      </w:hyperlink>
      <w:r>
        <w:t xml:space="preserve">.</w:t>
      </w:r>
    </w:p>
    <w:bookmarkEnd w:id="454"/>
    <w:bookmarkStart w:id="455"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55"/>
    <w:bookmarkStart w:id="456"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56"/>
    <w:bookmarkStart w:id="457"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57"/>
    <w:bookmarkStart w:id="459"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58">
        <w:r>
          <w:rPr>
            <w:rStyle w:val="Hyperlink"/>
          </w:rPr>
          <w:t xml:space="preserve">\url{https://www.cdc.gov/healthyweight/assessing/bmi/adult_bmi/index.html}</w:t>
        </w:r>
      </w:hyperlink>
      <w:r>
        <w:t xml:space="preserve">.</w:t>
      </w:r>
    </w:p>
    <w:bookmarkEnd w:id="459"/>
    <w:bookmarkStart w:id="461"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60">
        <w:r>
          <w:rPr>
            <w:rStyle w:val="Hyperlink"/>
          </w:rPr>
          <w:t xml:space="preserve">https://doi.org/10.1016/j.jclepro.2015.08.109</w:t>
        </w:r>
      </w:hyperlink>
      <w:r>
        <w:t xml:space="preserve">.</w:t>
      </w:r>
    </w:p>
    <w:bookmarkEnd w:id="461"/>
    <w:bookmarkStart w:id="462"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62"/>
    <w:bookmarkStart w:id="463" w:name="ref-clark2017principles"/>
    <w:p>
      <w:pPr>
        <w:pStyle w:val="Bibliography"/>
      </w:pPr>
      <w:r>
        <w:t xml:space="preserve">———. 2017.</w:t>
      </w:r>
      <w:r>
        <w:t xml:space="preserve"> </w:t>
      </w:r>
      <w:r>
        <w:rPr>
          <w:iCs/>
          <w:i/>
        </w:rPr>
        <w:t xml:space="preserve">Principles of Comparative Politics</w:t>
      </w:r>
      <w:r>
        <w:t xml:space="preserve">. CQ Press.</w:t>
      </w:r>
    </w:p>
    <w:bookmarkEnd w:id="463"/>
    <w:bookmarkStart w:id="465"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64">
        <w:r>
          <w:rPr>
            <w:rStyle w:val="Hyperlink"/>
          </w:rPr>
          <w:t xml:space="preserve">https://doi.org/10.1111/j.1460-2466.2008.00381.x</w:t>
        </w:r>
      </w:hyperlink>
      <w:r>
        <w:t xml:space="preserve">.</w:t>
      </w:r>
    </w:p>
    <w:bookmarkEnd w:id="465"/>
    <w:bookmarkStart w:id="466"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66"/>
    <w:bookmarkStart w:id="468"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67">
        <w:r>
          <w:rPr>
            <w:rStyle w:val="Hyperlink"/>
          </w:rPr>
          <w:t xml:space="preserve">https://doi.org/10.1111/jcom.12084</w:t>
        </w:r>
      </w:hyperlink>
      <w:r>
        <w:t xml:space="preserve">.</w:t>
      </w:r>
    </w:p>
    <w:bookmarkEnd w:id="468"/>
    <w:bookmarkStart w:id="469"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69"/>
    <w:bookmarkStart w:id="471"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70">
        <w:r>
          <w:rPr>
            <w:rStyle w:val="Hyperlink"/>
          </w:rPr>
          <w:t xml:space="preserve">https://doi.org/10.2304/plat.2014.13.1.3</w:t>
        </w:r>
      </w:hyperlink>
      <w:r>
        <w:t xml:space="preserve">.</w:t>
      </w:r>
    </w:p>
    <w:bookmarkEnd w:id="471"/>
    <w:bookmarkStart w:id="472"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72"/>
    <w:bookmarkStart w:id="473"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73"/>
    <w:bookmarkStart w:id="475"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74">
        <w:r>
          <w:rPr>
            <w:rStyle w:val="Hyperlink"/>
          </w:rPr>
          <w:t xml:space="preserve">https://doi.org/10.1017/pan.2018.12</w:t>
        </w:r>
      </w:hyperlink>
      <w:r>
        <w:t xml:space="preserve">.</w:t>
      </w:r>
    </w:p>
    <w:bookmarkEnd w:id="475"/>
    <w:bookmarkStart w:id="477"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76">
        <w:r>
          <w:rPr>
            <w:rStyle w:val="Hyperlink"/>
          </w:rPr>
          <w:t xml:space="preserve">https://doi.org/10.1016/j.worlddev.2016.06.011</w:t>
        </w:r>
      </w:hyperlink>
      <w:r>
        <w:t xml:space="preserve">.</w:t>
      </w:r>
    </w:p>
    <w:bookmarkEnd w:id="477"/>
    <w:bookmarkStart w:id="479"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78">
        <w:r>
          <w:rPr>
            <w:rStyle w:val="Hyperlink"/>
          </w:rPr>
          <w:t xml:space="preserve">https://doi.org/10.1126/science.1081058</w:t>
        </w:r>
      </w:hyperlink>
      <w:r>
        <w:t xml:space="preserve">.</w:t>
      </w:r>
    </w:p>
    <w:bookmarkEnd w:id="479"/>
    <w:bookmarkStart w:id="480"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80"/>
    <w:bookmarkStart w:id="481"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81"/>
    <w:bookmarkStart w:id="482"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82"/>
    <w:bookmarkStart w:id="483"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83"/>
    <w:bookmarkStart w:id="484"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84"/>
    <w:bookmarkStart w:id="486"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85">
        <w:r>
          <w:rPr>
            <w:rStyle w:val="Hyperlink"/>
          </w:rPr>
          <w:t xml:space="preserve">https://doi.org/10.1145/2818717</w:t>
        </w:r>
      </w:hyperlink>
      <w:r>
        <w:t xml:space="preserve">.</w:t>
      </w:r>
    </w:p>
    <w:bookmarkEnd w:id="486"/>
    <w:bookmarkStart w:id="488"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87">
        <w:r>
          <w:rPr>
            <w:rStyle w:val="Hyperlink"/>
          </w:rPr>
          <w:t xml:space="preserve">https://doi.org/10.1111/j.1468-2508.2006.00471.x</w:t>
        </w:r>
      </w:hyperlink>
      <w:r>
        <w:t xml:space="preserve">.</w:t>
      </w:r>
    </w:p>
    <w:bookmarkEnd w:id="488"/>
    <w:bookmarkStart w:id="489"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89"/>
    <w:bookmarkStart w:id="491"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90">
        <w:r>
          <w:rPr>
            <w:rStyle w:val="Hyperlink"/>
          </w:rPr>
          <w:t xml:space="preserve">https://doi.org/10.1017/s104909650707117x</w:t>
        </w:r>
      </w:hyperlink>
      <w:r>
        <w:t xml:space="preserve">.</w:t>
      </w:r>
    </w:p>
    <w:bookmarkEnd w:id="491"/>
    <w:bookmarkStart w:id="493"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92">
        <w:r>
          <w:rPr>
            <w:rStyle w:val="Hyperlink"/>
          </w:rPr>
          <w:t xml:space="preserve">https://doi.org/10.1111/pops.12600</w:t>
        </w:r>
      </w:hyperlink>
      <w:r>
        <w:t xml:space="preserve">.</w:t>
      </w:r>
    </w:p>
    <w:bookmarkEnd w:id="493"/>
    <w:bookmarkStart w:id="495"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94">
        <w:r>
          <w:rPr>
            <w:rStyle w:val="Hyperlink"/>
          </w:rPr>
          <w:t xml:space="preserve">https://doi.org/10.2307/3033543</w:t>
        </w:r>
      </w:hyperlink>
      <w:r>
        <w:t xml:space="preserve">.</w:t>
      </w:r>
    </w:p>
    <w:bookmarkEnd w:id="495"/>
    <w:bookmarkStart w:id="496"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96"/>
    <w:bookmarkStart w:id="498"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97">
        <w:r>
          <w:rPr>
            <w:rStyle w:val="Hyperlink"/>
          </w:rPr>
          <w:t xml:space="preserve">https://doi.org/doi.org/10.1177/1354068806059344</w:t>
        </w:r>
      </w:hyperlink>
      <w:r>
        <w:t xml:space="preserve">.</w:t>
      </w:r>
    </w:p>
    <w:bookmarkEnd w:id="498"/>
    <w:bookmarkStart w:id="500"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99">
        <w:r>
          <w:rPr>
            <w:rStyle w:val="Hyperlink"/>
          </w:rPr>
          <w:t xml:space="preserve">https://doi.org/10.1111/j.1747-7379.2009.00783.x</w:t>
        </w:r>
      </w:hyperlink>
      <w:r>
        <w:t xml:space="preserve">.</w:t>
      </w:r>
    </w:p>
    <w:bookmarkEnd w:id="500"/>
    <w:bookmarkStart w:id="501"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501"/>
    <w:bookmarkStart w:id="502"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502"/>
    <w:bookmarkStart w:id="503"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503"/>
    <w:bookmarkStart w:id="504"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504"/>
    <w:bookmarkStart w:id="506"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505">
        <w:r>
          <w:rPr>
            <w:rStyle w:val="Hyperlink"/>
          </w:rPr>
          <w:t xml:space="preserve">https://doi.org/10.1145/2503792.2503797</w:t>
        </w:r>
      </w:hyperlink>
      <w:r>
        <w:t xml:space="preserve">.</w:t>
      </w:r>
    </w:p>
    <w:bookmarkEnd w:id="506"/>
    <w:bookmarkStart w:id="507"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507"/>
    <w:bookmarkStart w:id="509"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508">
        <w:r>
          <w:rPr>
            <w:rStyle w:val="Hyperlink"/>
          </w:rPr>
          <w:t xml:space="preserve">https://doi.org/10.1073/pnas.1416587112</w:t>
        </w:r>
      </w:hyperlink>
      <w:r>
        <w:t xml:space="preserve">.</w:t>
      </w:r>
    </w:p>
    <w:bookmarkEnd w:id="509"/>
    <w:bookmarkStart w:id="510"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510"/>
    <w:bookmarkStart w:id="511"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511"/>
    <w:bookmarkStart w:id="512"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512"/>
    <w:bookmarkStart w:id="513"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513"/>
    <w:bookmarkStart w:id="514"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14"/>
    <w:bookmarkStart w:id="515"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15"/>
    <w:bookmarkStart w:id="517"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16">
        <w:r>
          <w:rPr>
            <w:rStyle w:val="Hyperlink"/>
          </w:rPr>
          <w:t xml:space="preserve">https://doi.org/10.1561/100.00012099</w:t>
        </w:r>
      </w:hyperlink>
      <w:r>
        <w:t xml:space="preserve">.</w:t>
      </w:r>
    </w:p>
    <w:bookmarkEnd w:id="517"/>
    <w:bookmarkStart w:id="519"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18">
        <w:r>
          <w:rPr>
            <w:rStyle w:val="Hyperlink"/>
          </w:rPr>
          <w:t xml:space="preserve">https://doi.org/10.1017/S000305540018966X</w:t>
        </w:r>
      </w:hyperlink>
      <w:r>
        <w:t xml:space="preserve">.</w:t>
      </w:r>
    </w:p>
    <w:bookmarkEnd w:id="519"/>
    <w:bookmarkStart w:id="520"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20"/>
    <w:bookmarkStart w:id="522"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21">
        <w:r>
          <w:rPr>
            <w:rStyle w:val="Hyperlink"/>
          </w:rPr>
          <w:t xml:space="preserve">https://doi.org/10.1515/jci-2017-0025</w:t>
        </w:r>
      </w:hyperlink>
      <w:r>
        <w:t xml:space="preserve">.</w:t>
      </w:r>
    </w:p>
    <w:bookmarkEnd w:id="522"/>
    <w:bookmarkStart w:id="523"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23"/>
    <w:bookmarkStart w:id="524"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24"/>
    <w:bookmarkStart w:id="525"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25"/>
    <w:bookmarkStart w:id="526"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26"/>
    <w:bookmarkStart w:id="528"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27">
        <w:r>
          <w:rPr>
            <w:rStyle w:val="Hyperlink"/>
          </w:rPr>
          <w:t xml:space="preserve">https://doi.org/10.1007/s11109-019-09569-2</w:t>
        </w:r>
      </w:hyperlink>
      <w:r>
        <w:t xml:space="preserve">.</w:t>
      </w:r>
    </w:p>
    <w:bookmarkEnd w:id="528"/>
    <w:bookmarkStart w:id="530"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29">
        <w:r>
          <w:rPr>
            <w:rStyle w:val="Hyperlink"/>
          </w:rPr>
          <w:t xml:space="preserve">https://datareportal.com/reports/digital-2020-global-digital-overview</w:t>
        </w:r>
      </w:hyperlink>
      <w:r>
        <w:t xml:space="preserve">.</w:t>
      </w:r>
    </w:p>
    <w:bookmarkEnd w:id="530"/>
    <w:bookmarkStart w:id="532"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31">
        <w:r>
          <w:rPr>
            <w:rStyle w:val="Hyperlink"/>
          </w:rPr>
          <w:t xml:space="preserve">https://doi.org/10.1038/35022643</w:t>
        </w:r>
      </w:hyperlink>
      <w:r>
        <w:t xml:space="preserve">.</w:t>
      </w:r>
    </w:p>
    <w:bookmarkEnd w:id="532"/>
    <w:bookmarkStart w:id="533"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33"/>
    <w:bookmarkStart w:id="534"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34"/>
    <w:bookmarkStart w:id="536"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35">
        <w:r>
          <w:rPr>
            <w:rStyle w:val="Hyperlink"/>
          </w:rPr>
          <w:t xml:space="preserve">https://doi.org/10.1177/1354068805053211</w:t>
        </w:r>
      </w:hyperlink>
      <w:r>
        <w:t xml:space="preserve">.</w:t>
      </w:r>
    </w:p>
    <w:bookmarkEnd w:id="536"/>
    <w:bookmarkStart w:id="538"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37">
        <w:r>
          <w:rPr>
            <w:rStyle w:val="Hyperlink"/>
          </w:rPr>
          <w:t xml:space="preserve">https://doi.org/10.7208/chicago/9780226458106.001.0001</w:t>
        </w:r>
      </w:hyperlink>
      <w:r>
        <w:t xml:space="preserve">.</w:t>
      </w:r>
    </w:p>
    <w:bookmarkEnd w:id="538"/>
    <w:bookmarkStart w:id="539"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39"/>
    <w:bookmarkStart w:id="540"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40"/>
    <w:bookmarkStart w:id="541"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41"/>
    <w:bookmarkStart w:id="543"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42">
        <w:r>
          <w:rPr>
            <w:rStyle w:val="Hyperlink"/>
          </w:rPr>
          <w:t xml:space="preserve">https://www.psychologicalscience.org/observer/studying-people-in-their-local-environments</w:t>
        </w:r>
      </w:hyperlink>
      <w:r>
        <w:t xml:space="preserve">.</w:t>
      </w:r>
    </w:p>
    <w:bookmarkEnd w:id="543"/>
    <w:bookmarkStart w:id="545"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44">
        <w:r>
          <w:rPr>
            <w:rStyle w:val="Hyperlink"/>
          </w:rPr>
          <w:t xml:space="preserve">https://doi.org/10.1016/j.socnet.2008.07.002</w:t>
        </w:r>
      </w:hyperlink>
      <w:r>
        <w:t xml:space="preserve">.</w:t>
      </w:r>
    </w:p>
    <w:bookmarkEnd w:id="545"/>
    <w:bookmarkStart w:id="547"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46">
        <w:r>
          <w:rPr>
            <w:rStyle w:val="Hyperlink"/>
          </w:rPr>
          <w:t xml:space="preserve">https://doi.org/10.2307/1951731</w:t>
        </w:r>
      </w:hyperlink>
      <w:r>
        <w:t xml:space="preserve">.</w:t>
      </w:r>
    </w:p>
    <w:bookmarkEnd w:id="547"/>
    <w:bookmarkStart w:id="548"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48"/>
    <w:bookmarkStart w:id="549"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49"/>
    <w:bookmarkStart w:id="551"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50">
        <w:r>
          <w:rPr>
            <w:rStyle w:val="Hyperlink"/>
          </w:rPr>
          <w:t xml:space="preserve">https://doi.org/10.1162/glep_a_00507</w:t>
        </w:r>
      </w:hyperlink>
      <w:r>
        <w:t xml:space="preserve">.</w:t>
      </w:r>
    </w:p>
    <w:bookmarkEnd w:id="551"/>
    <w:bookmarkStart w:id="552"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52"/>
    <w:bookmarkStart w:id="553"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53"/>
    <w:bookmarkStart w:id="554"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54"/>
    <w:bookmarkStart w:id="556"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55">
        <w:r>
          <w:rPr>
            <w:rStyle w:val="Hyperlink"/>
          </w:rPr>
          <w:t xml:space="preserve">https://doi.org/10.1093/jeea/jvx057</w:t>
        </w:r>
      </w:hyperlink>
      <w:r>
        <w:t xml:space="preserve">.</w:t>
      </w:r>
    </w:p>
    <w:bookmarkEnd w:id="556"/>
    <w:bookmarkStart w:id="557"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57"/>
    <w:bookmarkStart w:id="559"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58">
        <w:r>
          <w:rPr>
            <w:rStyle w:val="Hyperlink"/>
          </w:rPr>
          <w:t xml:space="preserve">https://doi.org/10.2307/2786545</w:t>
        </w:r>
      </w:hyperlink>
      <w:r>
        <w:t xml:space="preserve">.</w:t>
      </w:r>
    </w:p>
    <w:bookmarkEnd w:id="559"/>
    <w:bookmarkStart w:id="560"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60"/>
    <w:bookmarkStart w:id="562"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61">
        <w:r>
          <w:rPr>
            <w:rStyle w:val="Hyperlink"/>
          </w:rPr>
          <w:t xml:space="preserve">https://doi.org/10.1017/S0003055418000618</w:t>
        </w:r>
      </w:hyperlink>
      <w:r>
        <w:t xml:space="preserve">.</w:t>
      </w:r>
    </w:p>
    <w:bookmarkEnd w:id="562"/>
    <w:bookmarkStart w:id="564"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63">
        <w:r>
          <w:rPr>
            <w:rStyle w:val="Hyperlink"/>
          </w:rPr>
          <w:t xml:space="preserve">https://doi.org/10.1017/S0003055418000412</w:t>
        </w:r>
      </w:hyperlink>
      <w:r>
        <w:t xml:space="preserve">.</w:t>
      </w:r>
    </w:p>
    <w:bookmarkEnd w:id="564"/>
    <w:bookmarkStart w:id="565"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65"/>
    <w:bookmarkStart w:id="566"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66"/>
    <w:bookmarkStart w:id="567"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67"/>
    <w:bookmarkStart w:id="569"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68">
        <w:r>
          <w:rPr>
            <w:rStyle w:val="Hyperlink"/>
          </w:rPr>
          <w:t xml:space="preserve">https://doi.org/10.1017/s0007123412000683</w:t>
        </w:r>
      </w:hyperlink>
      <w:r>
        <w:t xml:space="preserve">.</w:t>
      </w:r>
    </w:p>
    <w:bookmarkEnd w:id="569"/>
    <w:bookmarkStart w:id="570"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70"/>
    <w:bookmarkStart w:id="572"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71">
        <w:r>
          <w:rPr>
            <w:rStyle w:val="Hyperlink"/>
          </w:rPr>
          <w:t xml:space="preserve">https://doi.org/10.1080/00107510500052444</w:t>
        </w:r>
      </w:hyperlink>
      <w:r>
        <w:t xml:space="preserve">.</w:t>
      </w:r>
    </w:p>
    <w:bookmarkEnd w:id="572"/>
    <w:bookmarkStart w:id="573"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63">
        <w:r>
          <w:rPr>
            <w:rStyle w:val="Hyperlink"/>
          </w:rPr>
          <w:t xml:space="preserve">https://www.coursera.org/learn/machine-learning</w:t>
        </w:r>
      </w:hyperlink>
      <w:r>
        <w:t xml:space="preserve">.</w:t>
      </w:r>
    </w:p>
    <w:bookmarkEnd w:id="573"/>
    <w:bookmarkStart w:id="574"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74"/>
    <w:bookmarkStart w:id="575"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75"/>
    <w:bookmarkStart w:id="577"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76">
        <w:r>
          <w:rPr>
            <w:rStyle w:val="Hyperlink"/>
          </w:rPr>
          <w:t xml:space="preserve">https://doi.org/10.1016/j.socnet.2011.07.001</w:t>
        </w:r>
      </w:hyperlink>
      <w:r>
        <w:t xml:space="preserve">.</w:t>
      </w:r>
    </w:p>
    <w:bookmarkEnd w:id="577"/>
    <w:bookmarkStart w:id="579"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78">
        <w:r>
          <w:rPr>
            <w:rStyle w:val="Hyperlink"/>
          </w:rPr>
          <w:t xml:space="preserve">https://doi.org/10.1017/CBO9781316423936</w:t>
        </w:r>
      </w:hyperlink>
      <w:r>
        <w:t xml:space="preserve">.</w:t>
      </w:r>
    </w:p>
    <w:bookmarkEnd w:id="579"/>
    <w:bookmarkStart w:id="581"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80">
        <w:r>
          <w:rPr>
            <w:rStyle w:val="Hyperlink"/>
          </w:rPr>
          <w:t xml:space="preserve">https://doi.org/10.1086/694255</w:t>
        </w:r>
      </w:hyperlink>
      <w:r>
        <w:t xml:space="preserve">.</w:t>
      </w:r>
    </w:p>
    <w:bookmarkEnd w:id="581"/>
    <w:bookmarkStart w:id="583"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82">
        <w:r>
          <w:rPr>
            <w:rStyle w:val="Hyperlink"/>
          </w:rPr>
          <w:t xml:space="preserve">\url{https://www.chronicle.com/article/Harvards-Privacy-Meltdown/128166}</w:t>
        </w:r>
      </w:hyperlink>
      <w:r>
        <w:t xml:space="preserve">.</w:t>
      </w:r>
    </w:p>
    <w:bookmarkEnd w:id="583"/>
    <w:bookmarkStart w:id="584"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84"/>
    <w:bookmarkStart w:id="585"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85"/>
    <w:bookmarkStart w:id="586"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86"/>
    <w:bookmarkStart w:id="587"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87"/>
    <w:bookmarkStart w:id="589"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88">
        <w:r>
          <w:rPr>
            <w:rStyle w:val="Hyperlink"/>
          </w:rPr>
          <w:t xml:space="preserve">https://doi.org/10.1177/0022002715596777</w:t>
        </w:r>
      </w:hyperlink>
      <w:r>
        <w:t xml:space="preserve">.</w:t>
      </w:r>
    </w:p>
    <w:bookmarkEnd w:id="589"/>
    <w:bookmarkStart w:id="590"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90"/>
    <w:bookmarkStart w:id="591"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91"/>
    <w:bookmarkStart w:id="592"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92"/>
    <w:bookmarkStart w:id="593"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93"/>
    <w:bookmarkStart w:id="595"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94">
        <w:r>
          <w:rPr>
            <w:rStyle w:val="Hyperlink"/>
          </w:rPr>
          <w:t xml:space="preserve">https://doi.org/10.1103/physreve.75.027105</w:t>
        </w:r>
      </w:hyperlink>
      <w:r>
        <w:t xml:space="preserve">.</w:t>
      </w:r>
    </w:p>
    <w:bookmarkEnd w:id="595"/>
    <w:bookmarkStart w:id="597"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96">
        <w:r>
          <w:rPr>
            <w:rStyle w:val="Hyperlink"/>
          </w:rPr>
          <w:t xml:space="preserve">https://doi.org/10.2307/1958356</w:t>
        </w:r>
      </w:hyperlink>
      <w:r>
        <w:t xml:space="preserve">.</w:t>
      </w:r>
    </w:p>
    <w:bookmarkEnd w:id="597"/>
    <w:bookmarkStart w:id="599"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98">
        <w:r>
          <w:rPr>
            <w:rStyle w:val="Hyperlink"/>
          </w:rPr>
          <w:t xml:space="preserve">https://doi.org/10.1016/j.jpubeco.2015.03.009</w:t>
        </w:r>
      </w:hyperlink>
      <w:r>
        <w:t xml:space="preserve">.</w:t>
      </w:r>
    </w:p>
    <w:bookmarkEnd w:id="599"/>
    <w:bookmarkStart w:id="600"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600"/>
    <w:bookmarkStart w:id="602"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601">
        <w:r>
          <w:rPr>
            <w:rStyle w:val="Hyperlink"/>
          </w:rPr>
          <w:t xml:space="preserve">https://doi.org/10.1017/XPS.2017.6</w:t>
        </w:r>
      </w:hyperlink>
      <w:r>
        <w:t xml:space="preserve">.</w:t>
      </w:r>
    </w:p>
    <w:bookmarkEnd w:id="602"/>
    <w:bookmarkStart w:id="603"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603"/>
    <w:bookmarkStart w:id="604"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604"/>
    <w:bookmarkStart w:id="605"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605"/>
    <w:bookmarkStart w:id="607"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606">
        <w:r>
          <w:rPr>
            <w:rStyle w:val="Hyperlink"/>
          </w:rPr>
          <w:t xml:space="preserve">http://dx.doi.org.turing.library.northwestern.edu/10.1017/S0007123416000168</w:t>
        </w:r>
      </w:hyperlink>
      <w:r>
        <w:t xml:space="preserve">.</w:t>
      </w:r>
    </w:p>
    <w:bookmarkEnd w:id="607"/>
    <w:bookmarkStart w:id="608"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608"/>
    <w:bookmarkStart w:id="609"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609"/>
    <w:bookmarkStart w:id="611"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610">
        <w:r>
          <w:rPr>
            <w:rStyle w:val="Hyperlink"/>
          </w:rPr>
          <w:t xml:space="preserve">https://doi.org/10.1017/S1049096517002074</w:t>
        </w:r>
      </w:hyperlink>
      <w:r>
        <w:t xml:space="preserve">.</w:t>
      </w:r>
    </w:p>
    <w:bookmarkEnd w:id="611"/>
    <w:bookmarkStart w:id="613"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612">
        <w:r>
          <w:rPr>
            <w:rStyle w:val="Hyperlink"/>
          </w:rPr>
          <w:t xml:space="preserve">https://doi.org/10.1145/2063576.2063748</w:t>
        </w:r>
      </w:hyperlink>
      <w:r>
        <w:t xml:space="preserve">.</w:t>
      </w:r>
    </w:p>
    <w:bookmarkEnd w:id="613"/>
    <w:bookmarkStart w:id="615"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14">
        <w:r>
          <w:rPr>
            <w:rStyle w:val="Hyperlink"/>
          </w:rPr>
          <w:t xml:space="preserve">https://doi.org/10.1017/S0003055418000217</w:t>
        </w:r>
      </w:hyperlink>
      <w:r>
        <w:t xml:space="preserve">.</w:t>
      </w:r>
    </w:p>
    <w:bookmarkEnd w:id="615"/>
    <w:bookmarkStart w:id="616"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16"/>
    <w:bookmarkStart w:id="618"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17">
        <w:r>
          <w:rPr>
            <w:rStyle w:val="Hyperlink"/>
          </w:rPr>
          <w:t xml:space="preserve">https://doi.org/10.1017/S0003055407070153</w:t>
        </w:r>
      </w:hyperlink>
      <w:r>
        <w:t xml:space="preserve">.</w:t>
      </w:r>
    </w:p>
    <w:bookmarkEnd w:id="618"/>
    <w:bookmarkStart w:id="620"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19">
        <w:r>
          <w:rPr>
            <w:rStyle w:val="Hyperlink"/>
          </w:rPr>
          <w:t xml:space="preserve">https://doi.org/10.1111/0952-1895.00141</w:t>
        </w:r>
      </w:hyperlink>
      <w:r>
        <w:t xml:space="preserve">.</w:t>
      </w:r>
    </w:p>
    <w:bookmarkEnd w:id="620"/>
    <w:bookmarkStart w:id="621"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21"/>
    <w:bookmarkStart w:id="622"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22"/>
    <w:bookmarkStart w:id="623"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23"/>
    <w:bookmarkStart w:id="625"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24">
        <w:r>
          <w:rPr>
            <w:rStyle w:val="Hyperlink"/>
          </w:rPr>
          <w:t xml:space="preserve">https://doi.org/10.1038/30918</w:t>
        </w:r>
      </w:hyperlink>
      <w:r>
        <w:t xml:space="preserve">.</w:t>
      </w:r>
    </w:p>
    <w:bookmarkEnd w:id="625"/>
    <w:bookmarkStart w:id="626"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26"/>
    <w:bookmarkStart w:id="627"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27"/>
    <w:bookmarkStart w:id="629"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28">
        <w:r>
          <w:rPr>
            <w:rStyle w:val="Hyperlink"/>
          </w:rPr>
          <w:t xml:space="preserve">https://doi.org/10.1017/S0003055418000862</w:t>
        </w:r>
      </w:hyperlink>
      <w:r>
        <w:t xml:space="preserve">.</w:t>
      </w:r>
    </w:p>
    <w:bookmarkEnd w:id="629"/>
    <w:bookmarkStart w:id="631"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30">
        <w:r>
          <w:rPr>
            <w:rStyle w:val="Hyperlink"/>
          </w:rPr>
          <w:t xml:space="preserve">https://doi.org/10.1017/S000305541400046X</w:t>
        </w:r>
      </w:hyperlink>
      <w:r>
        <w:t xml:space="preserve">.</w:t>
      </w:r>
    </w:p>
    <w:bookmarkEnd w:id="631"/>
    <w:bookmarkStart w:id="632"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32"/>
    <w:bookmarkStart w:id="634"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33">
        <w:r>
          <w:rPr>
            <w:rStyle w:val="Hyperlink"/>
          </w:rPr>
          <w:t xml:space="preserve">\url{http://www.michaelzimmer.org/2008/10/03/more-on-the-anonymity-of-the-facebook-dataset-its-harvard-college/}</w:t>
        </w:r>
      </w:hyperlink>
      <w:r>
        <w:t xml:space="preserve">.</w:t>
      </w:r>
    </w:p>
    <w:bookmarkEnd w:id="634"/>
    <w:bookmarkStart w:id="636"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35">
        <w:r>
          <w:rPr>
            <w:rStyle w:val="Hyperlink"/>
          </w:rPr>
          <w:t xml:space="preserve">https://doi.org/10.1007/s10676-010-9227-5</w:t>
        </w:r>
      </w:hyperlink>
      <w:r>
        <w:t xml:space="preserve">.</w:t>
      </w:r>
    </w:p>
    <w:bookmarkEnd w:id="636"/>
    <w:bookmarkEnd w:id="637"/>
    <w:bookmarkEnd w:id="6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74">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76">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83">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84">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98">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99">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400">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404">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406">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64" Target="media/rId364.png" /><Relationship Type="http://schemas.openxmlformats.org/officeDocument/2006/relationships/image" Id="rId370" Target="media/rId370.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4" Target="media/rId394.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21" Target="media/rId321.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350" Target="media/rId350.png" /><Relationship Type="http://schemas.openxmlformats.org/officeDocument/2006/relationships/image" Id="rId357" Target="media/rId357.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This textbook begins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2022-01-24T22:22:16Z</dcterms:created>
  <dcterms:modified xsi:type="dcterms:W3CDTF">2022-01-24T22:22:16Z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