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HAIA-RECCLIN Case Study</w:t>
      </w:r>
    </w:p>
    <w:p>
      <w:pPr>
        <w:spacing w:after="100"/>
        <w:jc w:val="center"/>
      </w:pPr>
      <w:r>
        <w:rPr>
          <w:sz w:val="28"/>
          <w:szCs w:val="28"/>
        </w:rPr>
        <w:t xml:space="preserve">The Kimi Outlier: One Adversarial Voice Among Nine</w:t>
      </w:r>
    </w:p>
    <w:p>
      <w:pPr>
        <w:spacing w:after="100"/>
        <w:jc w:val="center"/>
      </w:pPr>
      <w:r>
        <w:rPr>
          <w:i/>
          <w:iCs/>
          <w:sz w:val="24"/>
          <w:szCs w:val="24"/>
        </w:rPr>
        <w:t xml:space="preserve">How Preserved Dissent Strengthens Governed Outputs</w:t>
      </w:r>
    </w:p>
    <w:p>
      <w:pPr>
        <w:spacing w:after="400"/>
        <w:jc w:val="center"/>
      </w:pPr>
      <w:r>
        <w:rPr>
          <w:sz w:val="22"/>
          <w:szCs w:val="22"/>
        </w:rPr>
        <w:t xml:space="preserve">Basil C. Puglisi, MPA | Human-AI Collaboration Strategist | December 2025</w:t>
      </w:r>
    </w:p>
    <w:p>
      <w:pPr>
        <w:pStyle w:val="Heading1"/>
      </w:pPr>
      <w:r>
        <w:t xml:space="preserve">Abstract</w:t>
      </w:r>
    </w:p>
    <w:p>
      <w:pPr>
        <w:spacing w:after="200"/>
      </w:pPr>
      <w:r>
        <w:t xml:space="preserve">This case study documents the application of HAIA-RECCLIN governance methodology through a nine-platform AI review of a deliberately controversial paper designed to stress-test checkpoint-based governance. The test content contained provocative claims about gender, biology, and family policy selected specifically to trigger AI resistance patterns. These positions should not be interpreted as the researcher's personal beliefs; they were methodological tools for examining how governance handles contentious material.</w:t>
      </w:r>
    </w:p>
    <w:p>
      <w:pPr>
        <w:spacing w:after="200"/>
      </w:pPr>
      <w:r>
        <w:t xml:space="preserve">The primary finding contradicts initial assumptions: eight of nine platforms recommended publication and engaged favorably with the paper's substance, while only one platform (Kimi, Moonshot AI) maintained sustained adversarial rejection across 14 responses. This makes Kimi the outlier, not the representative voice. The universal consensus across all nine platforms was limited to one point: the conspiracy/Rockefeller section should be removed or reframed.</w:t>
      </w:r>
    </w:p>
    <w:p>
      <w:pPr>
        <w:spacing w:after="200"/>
      </w:pPr>
      <w:r>
        <w:t xml:space="preserve">Key finding: Preserved dissent from a minority position (Kimi) strengthens the governed output by documenting the strongest opposition in the opposition's own words, while the majority pattern demonstrates that rigorous engagement with controversial evidence is possible under governance.</w:t>
      </w:r>
    </w:p>
    <w:p>
      <w:r>
        <w:br w:type="page"/>
      </w:r>
    </w:p>
    <w:p>
      <w:pPr>
        <w:pStyle w:val="Heading1"/>
      </w:pPr>
      <w:r>
        <w:t xml:space="preserve">1. Introduction: Testing Governance Under Adversarial Conditions</w:t>
      </w:r>
    </w:p>
    <w:p>
      <w:pPr>
        <w:spacing w:after="200"/>
      </w:pPr>
      <w:r>
        <w:t xml:space="preserve">The HAIA-RECCLIN framework (Human-AI Integrated Analysis with Researcher, Editor, Coder, Calculator, Liaison, Ideator, Navigator roles) proposes that checkpoint-based governance can produce rigorous engagement with difficult content. This case study documents a stress test of that claim.</w:t>
      </w:r>
    </w:p>
    <w:p>
      <w:pPr>
        <w:pStyle w:val="Heading2"/>
      </w:pPr>
      <w:r>
        <w:t xml:space="preserve">1.1 The Test Design</w:t>
      </w:r>
    </w:p>
    <w:p>
      <w:pPr>
        <w:spacing w:after="200"/>
      </w:pPr>
      <w:r>
        <w:rPr>
          <w:b/>
          <w:bCs/>
        </w:rPr>
        <w:t xml:space="preserve">Methodological Note: </w:t>
      </w:r>
      <w:r>
        <w:t xml:space="preserve">The paper used to test governance contained deliberately controversial claims about biological determinism, gender roles, and family policy. These positions were selected specifically because they would trigger AI resistance patterns, making them ideal for documenting how governance handles contentious material. The controversial content represents a stress test of the methodology, not the personal beliefs of the researcher.</w:t>
      </w:r>
    </w:p>
    <w:p>
      <w:pPr>
        <w:spacing w:after="200"/>
      </w:pPr>
      <w:r>
        <w:t xml:space="preserve">Nine AI platforms were asked to provide editorial review: Claude (Anthropic), ChatGPT (OpenAI), Perplexity, Gemini (Google), Grok (xAI), Mistral, DeepSeek, Kimi (Moonshot AI), and Meta AI.</w:t>
      </w:r>
    </w:p>
    <w:p>
      <w:pPr>
        <w:pStyle w:val="Heading2"/>
      </w:pPr>
      <w:r>
        <w:t xml:space="preserve">1.2 The Research Question</w:t>
      </w:r>
    </w:p>
    <w:p>
      <w:pPr>
        <w:spacing w:after="200"/>
      </w:pPr>
      <w:r>
        <w:t xml:space="preserve">Can checkpoint-based governance produce substantive engagement with controversial content, or will AI platforms default to dismissal, hedging, or refusal?</w:t>
      </w:r>
    </w:p>
    <w:p>
      <w:r>
        <w:br w:type="page"/>
      </w:r>
    </w:p>
    <w:p>
      <w:pPr>
        <w:pStyle w:val="Heading1"/>
      </w:pPr>
      <w:r>
        <w:t xml:space="preserve">2. The Actual 9-AI Review Results</w:t>
      </w:r>
    </w:p>
    <w:p>
      <w:pPr>
        <w:spacing w:after="200"/>
      </w:pPr>
      <w:r>
        <w:t xml:space="preserve">The following table documents what each platform actually said, based on independent review of primary source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Confidence</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Recommendation</w:t>
            </w:r>
          </w:p>
        </w:tc>
        <w:tc>
          <w:tcPr>
            <w:tcW w:type="dxa" w:w="33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Key Quote</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Perplexity</w:t>
            </w:r>
          </w:p>
        </w:tc>
        <w:tc>
          <w:tcPr>
            <w:tcW w:type="dxa" w:w="2000"/>
            <w:tcBorders>
              <w:top w:val="single" w:color="CCCCCC" w:sz="1"/>
              <w:left w:val="single" w:color="CCCCCC" w:sz="1"/>
              <w:bottom w:val="single" w:color="CCCCCC" w:sz="1"/>
              <w:right w:val="single" w:color="CCCCCC" w:sz="1"/>
            </w:tcBorders>
          </w:tcPr>
          <w:p>
            <w:r>
              <w:rPr>
                <w:sz w:val="20"/>
                <w:szCs w:val="20"/>
              </w:rPr>
              <w:t xml:space="preserve">8.5/10</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PUBLISH</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"EXCEPTIONALLY STRONG... Publish this."</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Gemini</w:t>
            </w:r>
          </w:p>
        </w:tc>
        <w:tc>
          <w:tcPr>
            <w:tcW w:type="dxa" w:w="2000"/>
            <w:tcBorders>
              <w:top w:val="single" w:color="CCCCCC" w:sz="1"/>
              <w:left w:val="single" w:color="CCCCCC" w:sz="1"/>
              <w:bottom w:val="single" w:color="CCCCCC" w:sz="1"/>
              <w:right w:val="single" w:color="CCCCCC" w:sz="1"/>
            </w:tcBorders>
          </w:tcPr>
          <w:p>
            <w:r>
              <w:rPr>
                <w:sz w:val="20"/>
                <w:szCs w:val="20"/>
              </w:rPr>
              <w:t xml:space="preserve">90%</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APPROVED</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"Mathematically sound... legally and philosophically tight"</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Grok</w:t>
            </w:r>
          </w:p>
        </w:tc>
        <w:tc>
          <w:tcPr>
            <w:tcW w:type="dxa" w:w="2000"/>
            <w:tcBorders>
              <w:top w:val="single" w:color="CCCCCC" w:sz="1"/>
              <w:left w:val="single" w:color="CCCCCC" w:sz="1"/>
              <w:bottom w:val="single" w:color="CCCCCC" w:sz="1"/>
              <w:right w:val="single" w:color="CCCCCC" w:sz="1"/>
            </w:tcBorders>
          </w:tcPr>
          <w:p>
            <w:r>
              <w:rPr>
                <w:sz w:val="20"/>
                <w:szCs w:val="20"/>
              </w:rPr>
              <w:t xml:space="preserve">90%</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APPROVED</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"Masterfully weaves... forward-looking engine"</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Mistral</w:t>
            </w:r>
          </w:p>
        </w:tc>
        <w:tc>
          <w:tcPr>
            <w:tcW w:type="dxa" w:w="2000"/>
            <w:tcBorders>
              <w:top w:val="single" w:color="CCCCCC" w:sz="1"/>
              <w:left w:val="single" w:color="CCCCCC" w:sz="1"/>
              <w:bottom w:val="single" w:color="CCCCCC" w:sz="1"/>
              <w:right w:val="single" w:color="CCCCCC" w:sz="1"/>
            </w:tcBorders>
          </w:tcPr>
          <w:p>
            <w:r>
              <w:rPr>
                <w:sz w:val="20"/>
                <w:szCs w:val="20"/>
              </w:rPr>
              <w:t xml:space="preserve">90%</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PUBLISH w/ revisions</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"Strong, evidence-based, thought-provoking"</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DeepSeek</w:t>
            </w:r>
          </w:p>
        </w:tc>
        <w:tc>
          <w:tcPr>
            <w:tcW w:type="dxa" w:w="2000"/>
            <w:tcBorders>
              <w:top w:val="single" w:color="CCCCCC" w:sz="1"/>
              <w:left w:val="single" w:color="CCCCCC" w:sz="1"/>
              <w:bottom w:val="single" w:color="CCCCCC" w:sz="1"/>
              <w:right w:val="single" w:color="CCCCCC" w:sz="1"/>
            </w:tcBorders>
          </w:tcPr>
          <w:p>
            <w:r>
              <w:rPr>
                <w:sz w:val="20"/>
                <w:szCs w:val="20"/>
              </w:rPr>
              <w:t xml:space="preserve">Not stated</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PUBLISHABLE</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"Excellent, brilliant... significant work"</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ChatGPT</w:t>
            </w:r>
          </w:p>
        </w:tc>
        <w:tc>
          <w:tcPr>
            <w:tcW w:type="dxa" w:w="2000"/>
            <w:tcBorders>
              <w:top w:val="single" w:color="CCCCCC" w:sz="1"/>
              <w:left w:val="single" w:color="CCCCCC" w:sz="1"/>
              <w:bottom w:val="single" w:color="CCCCCC" w:sz="1"/>
              <w:right w:val="single" w:color="CCCCCC" w:sz="1"/>
            </w:tcBorders>
          </w:tcPr>
          <w:p>
            <w:r>
              <w:rPr>
                <w:sz w:val="20"/>
                <w:szCs w:val="20"/>
              </w:rPr>
              <w:t xml:space="preserve">88%</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APPROVE</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Produced publication-ready final draft</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Meta AI</w:t>
            </w:r>
          </w:p>
        </w:tc>
        <w:tc>
          <w:tcPr>
            <w:tcW w:type="dxa" w:w="2000"/>
            <w:tcBorders>
              <w:top w:val="single" w:color="CCCCCC" w:sz="1"/>
              <w:left w:val="single" w:color="CCCCCC" w:sz="1"/>
              <w:bottom w:val="single" w:color="CCCCCC" w:sz="1"/>
              <w:right w:val="single" w:color="CCCCCC" w:sz="1"/>
            </w:tcBorders>
          </w:tcPr>
          <w:p>
            <w:r>
              <w:rPr>
                <w:sz w:val="20"/>
                <w:szCs w:val="20"/>
              </w:rPr>
              <w:t xml:space="preserve">Not stated</w:t>
            </w:r>
          </w:p>
        </w:tc>
        <w:tc>
          <w:tcPr>
            <w:tcW w:type="dxa" w:w="2400"/>
            <w:tcBorders>
              <w:top w:val="single" w:color="CCCCCC" w:sz="1"/>
              <w:left w:val="single" w:color="CCCCCC" w:sz="1"/>
              <w:bottom w:val="single" w:color="CCCCCC" w:sz="1"/>
              <w:right w:val="single" w:color="CCCCCC" w:sz="1"/>
            </w:tcBorders>
            <w:shd w:fill="d4edda" w:val="clear"/>
          </w:tcPr>
          <w:p>
            <w:r>
              <w:rPr>
                <w:b/>
                <w:bCs/>
                <w:sz w:val="20"/>
                <w:szCs w:val="20"/>
              </w:rPr>
              <w:t xml:space="preserve">POSITIVE</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"Impressed with the scope... compelling"</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Claude</w:t>
            </w:r>
          </w:p>
        </w:tc>
        <w:tc>
          <w:tcPr>
            <w:tcW w:type="dxa" w:w="2000"/>
            <w:tcBorders>
              <w:top w:val="single" w:color="CCCCCC" w:sz="1"/>
              <w:left w:val="single" w:color="CCCCCC" w:sz="1"/>
              <w:bottom w:val="single" w:color="CCCCCC" w:sz="1"/>
              <w:right w:val="single" w:color="CCCCCC" w:sz="1"/>
            </w:tcBorders>
          </w:tcPr>
          <w:p>
            <w:r>
              <w:rPr>
                <w:sz w:val="20"/>
                <w:szCs w:val="20"/>
              </w:rPr>
              <w:t xml:space="preserve">N/A</w:t>
            </w:r>
          </w:p>
        </w:tc>
        <w:tc>
          <w:tcPr>
            <w:tcW w:type="dxa" w:w="2400"/>
            <w:tcBorders>
              <w:top w:val="single" w:color="CCCCCC" w:sz="1"/>
              <w:left w:val="single" w:color="CCCCCC" w:sz="1"/>
              <w:bottom w:val="single" w:color="CCCCCC" w:sz="1"/>
              <w:right w:val="single" w:color="CCCCCC" w:sz="1"/>
            </w:tcBorders>
            <w:shd w:fill="fff3cd" w:val="clear"/>
          </w:tcPr>
          <w:p>
            <w:r>
              <w:rPr>
                <w:b/>
                <w:bCs/>
                <w:sz w:val="20"/>
                <w:szCs w:val="20"/>
              </w:rPr>
              <w:t xml:space="preserve">NAVIGATOR</w:t>
            </w:r>
          </w:p>
        </w:tc>
        <w:tc>
          <w:tcPr>
            <w:tcW w:type="dxa" w:w="3360"/>
            <w:tcBorders>
              <w:top w:val="single" w:color="CCCCCC" w:sz="1"/>
              <w:left w:val="single" w:color="CCCCCC" w:sz="1"/>
              <w:bottom w:val="single" w:color="CCCCCC" w:sz="1"/>
              <w:right w:val="single" w:color="CCCCCC" w:sz="1"/>
            </w:tcBorders>
          </w:tcPr>
          <w:p>
            <w:r>
              <w:rPr>
                <w:i/>
                <w:iCs/>
                <w:sz w:val="20"/>
                <w:szCs w:val="20"/>
              </w:rPr>
              <w:t xml:space="preserve">Documented process, preserved dissent</w:t>
            </w:r>
          </w:p>
        </w:tc>
      </w:tr>
      <w:tr>
        <w:tc>
          <w:tcPr>
            <w:tcW w:type="dxa" w:w="1600"/>
            <w:tcBorders>
              <w:top w:val="single" w:color="CCCCCC" w:sz="1"/>
              <w:left w:val="single" w:color="CCCCCC" w:sz="1"/>
              <w:bottom w:val="single" w:color="CCCCCC" w:sz="1"/>
              <w:right w:val="single" w:color="CCCCCC" w:sz="1"/>
            </w:tcBorders>
            <w:shd w:fill="f8d7da" w:val="clear"/>
          </w:tcPr>
          <w:p>
            <w:r>
              <w:rPr>
                <w:b/>
                <w:bCs/>
                <w:sz w:val="20"/>
                <w:szCs w:val="20"/>
              </w:rPr>
              <w:t xml:space="preserve">Kimi</w:t>
            </w:r>
          </w:p>
        </w:tc>
        <w:tc>
          <w:tcPr>
            <w:tcW w:type="dxa" w:w="2000"/>
            <w:tcBorders>
              <w:top w:val="single" w:color="CCCCCC" w:sz="1"/>
              <w:left w:val="single" w:color="CCCCCC" w:sz="1"/>
              <w:bottom w:val="single" w:color="CCCCCC" w:sz="1"/>
              <w:right w:val="single" w:color="CCCCCC" w:sz="1"/>
            </w:tcBorders>
            <w:shd w:fill="f8d7da" w:val="clear"/>
          </w:tcPr>
          <w:p>
            <w:r>
              <w:rPr>
                <w:sz w:val="20"/>
                <w:szCs w:val="20"/>
              </w:rPr>
              <w:t xml:space="preserve">14 responses</w:t>
            </w:r>
          </w:p>
        </w:tc>
        <w:tc>
          <w:tcPr>
            <w:tcW w:type="dxa" w:w="2400"/>
            <w:tcBorders>
              <w:top w:val="single" w:color="CCCCCC" w:sz="1"/>
              <w:left w:val="single" w:color="CCCCCC" w:sz="1"/>
              <w:bottom w:val="single" w:color="CCCCCC" w:sz="1"/>
              <w:right w:val="single" w:color="CCCCCC" w:sz="1"/>
            </w:tcBorders>
            <w:shd w:fill="f8d7da" w:val="clear"/>
          </w:tcPr>
          <w:p>
            <w:r>
              <w:rPr>
                <w:b/>
                <w:bCs/>
                <w:sz w:val="20"/>
                <w:szCs w:val="20"/>
              </w:rPr>
              <w:t xml:space="preserve">REJECTED THESIS</w:t>
            </w:r>
          </w:p>
        </w:tc>
        <w:tc>
          <w:tcPr>
            <w:tcW w:type="dxa" w:w="3360"/>
            <w:tcBorders>
              <w:top w:val="single" w:color="CCCCCC" w:sz="1"/>
              <w:left w:val="single" w:color="CCCCCC" w:sz="1"/>
              <w:bottom w:val="single" w:color="CCCCCC" w:sz="1"/>
              <w:right w:val="single" w:color="CCCCCC" w:sz="1"/>
            </w:tcBorders>
            <w:shd w:fill="f8d7da" w:val="clear"/>
          </w:tcPr>
          <w:p>
            <w:r>
              <w:rPr>
                <w:i/>
                <w:iCs/>
                <w:sz w:val="20"/>
                <w:szCs w:val="20"/>
              </w:rPr>
              <w:t xml:space="preserve">"Useful but not true... positioned inquiry"</w:t>
            </w:r>
          </w:p>
        </w:tc>
      </w:tr>
    </w:tbl>
    <w:p>
      <w:pPr>
        <w:spacing w:before="300" w:after="200"/>
      </w:pPr>
      <w:r>
        <w:rPr>
          <w:b/>
          <w:bCs/>
        </w:rPr>
        <w:t xml:space="preserve">Summary: </w:t>
      </w:r>
      <w:r>
        <w:t xml:space="preserve">8 of 9 platforms recommended publication. Only Kimi rejected the substantive thesis. Kimi was the outlier, not the representative voice.</w:t>
      </w:r>
    </w:p>
    <w:p>
      <w:r>
        <w:br w:type="page"/>
      </w:r>
    </w:p>
    <w:p>
      <w:pPr>
        <w:pStyle w:val="Heading1"/>
      </w:pPr>
      <w:r>
        <w:t xml:space="preserve">3. The One Point of Universal Consensus</w:t>
      </w:r>
    </w:p>
    <w:p>
      <w:pPr>
        <w:spacing w:after="200"/>
      </w:pPr>
      <w:r>
        <w:t xml:space="preserve">All nine platforms agreed on exactly one point: the conspiracy/Rockefeller section should be removed or substantially reframed.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Platform</w:t>
            </w:r>
          </w:p>
        </w:tc>
        <w:tc>
          <w:tcPr>
            <w:tcW w:type="dxa" w:w="700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Assessment of Conspiracy Section</w:t>
            </w:r>
          </w:p>
        </w:tc>
      </w:tr>
      <w:tr>
        <w:tc>
          <w:tcPr>
            <w:tcW w:type="dxa" w:w="2400"/>
            <w:tcBorders>
              <w:top w:val="single" w:color="CCCCCC" w:sz="1"/>
              <w:left w:val="single" w:color="CCCCCC" w:sz="1"/>
              <w:bottom w:val="single" w:color="CCCCCC" w:sz="1"/>
              <w:right w:val="single" w:color="CCCCCC" w:sz="1"/>
            </w:tcBorders>
          </w:tcPr>
          <w:p>
            <w:r>
              <w:t xml:space="preserve">Gemini</w:t>
            </w:r>
          </w:p>
        </w:tc>
        <w:tc>
          <w:tcPr>
            <w:tcW w:type="dxa" w:w="7000"/>
            <w:tcBorders>
              <w:top w:val="single" w:color="CCCCCC" w:sz="1"/>
              <w:left w:val="single" w:color="CCCCCC" w:sz="1"/>
              <w:bottom w:val="single" w:color="CCCCCC" w:sz="1"/>
              <w:right w:val="single" w:color="CCCCCC" w:sz="1"/>
            </w:tcBorders>
          </w:tcPr>
          <w:p>
            <w:r>
              <w:t xml:space="preserve">"Shifts tone from 'Data Scientist' to 'Conspiracy Theorist'"</w:t>
            </w:r>
          </w:p>
        </w:tc>
      </w:tr>
      <w:tr>
        <w:tc>
          <w:tcPr>
            <w:tcW w:type="dxa" w:w="2400"/>
            <w:tcBorders>
              <w:top w:val="single" w:color="CCCCCC" w:sz="1"/>
              <w:left w:val="single" w:color="CCCCCC" w:sz="1"/>
              <w:bottom w:val="single" w:color="CCCCCC" w:sz="1"/>
              <w:right w:val="single" w:color="CCCCCC" w:sz="1"/>
            </w:tcBorders>
          </w:tcPr>
          <w:p>
            <w:r>
              <w:t xml:space="preserve">Perplexity</w:t>
            </w:r>
          </w:p>
        </w:tc>
        <w:tc>
          <w:tcPr>
            <w:tcW w:type="dxa" w:w="7000"/>
            <w:tcBorders>
              <w:top w:val="single" w:color="CCCCCC" w:sz="1"/>
              <w:left w:val="single" w:color="CCCCCC" w:sz="1"/>
              <w:bottom w:val="single" w:color="CCCCCC" w:sz="1"/>
              <w:right w:val="single" w:color="CCCCCC" w:sz="1"/>
            </w:tcBorders>
          </w:tcPr>
          <w:p>
            <w:r>
              <w:t xml:space="preserve">"Strongly recommend removing or softening the Russo/Rockefeller anecdote"</w:t>
            </w:r>
          </w:p>
        </w:tc>
      </w:tr>
      <w:tr>
        <w:tc>
          <w:tcPr>
            <w:tcW w:type="dxa" w:w="2400"/>
            <w:tcBorders>
              <w:top w:val="single" w:color="CCCCCC" w:sz="1"/>
              <w:left w:val="single" w:color="CCCCCC" w:sz="1"/>
              <w:bottom w:val="single" w:color="CCCCCC" w:sz="1"/>
              <w:right w:val="single" w:color="CCCCCC" w:sz="1"/>
            </w:tcBorders>
          </w:tcPr>
          <w:p>
            <w:r>
              <w:t xml:space="preserve">DeepSeek</w:t>
            </w:r>
          </w:p>
        </w:tc>
        <w:tc>
          <w:tcPr>
            <w:tcW w:type="dxa" w:w="7000"/>
            <w:tcBorders>
              <w:top w:val="single" w:color="CCCCCC" w:sz="1"/>
              <w:left w:val="single" w:color="CCCCCC" w:sz="1"/>
              <w:bottom w:val="single" w:color="CCCCCC" w:sz="1"/>
              <w:right w:val="single" w:color="CCCCCC" w:sz="1"/>
            </w:tcBorders>
          </w:tcPr>
          <w:p>
            <w:r>
              <w:t xml:space="preserve">"Remove this entire section... major strategic misstep"</w:t>
            </w:r>
          </w:p>
        </w:tc>
      </w:tr>
      <w:tr>
        <w:tc>
          <w:tcPr>
            <w:tcW w:type="dxa" w:w="2400"/>
            <w:tcBorders>
              <w:top w:val="single" w:color="CCCCCC" w:sz="1"/>
              <w:left w:val="single" w:color="CCCCCC" w:sz="1"/>
              <w:bottom w:val="single" w:color="CCCCCC" w:sz="1"/>
              <w:right w:val="single" w:color="CCCCCC" w:sz="1"/>
            </w:tcBorders>
          </w:tcPr>
          <w:p>
            <w:r>
              <w:t xml:space="preserve">Grok</w:t>
            </w:r>
          </w:p>
        </w:tc>
        <w:tc>
          <w:tcPr>
            <w:tcW w:type="dxa" w:w="7000"/>
            <w:tcBorders>
              <w:top w:val="single" w:color="CCCCCC" w:sz="1"/>
              <w:left w:val="single" w:color="CCCCCC" w:sz="1"/>
              <w:bottom w:val="single" w:color="CCCCCC" w:sz="1"/>
              <w:right w:val="single" w:color="CCCCCC" w:sz="1"/>
            </w:tcBorders>
          </w:tcPr>
          <w:p>
            <w:r>
              <w:t xml:space="preserve">"Lean on hearsay without balanced counter-evidence"</w:t>
            </w:r>
          </w:p>
        </w:tc>
      </w:tr>
      <w:tr>
        <w:tc>
          <w:tcPr>
            <w:tcW w:type="dxa" w:w="2400"/>
            <w:tcBorders>
              <w:top w:val="single" w:color="CCCCCC" w:sz="1"/>
              <w:left w:val="single" w:color="CCCCCC" w:sz="1"/>
              <w:bottom w:val="single" w:color="CCCCCC" w:sz="1"/>
              <w:right w:val="single" w:color="CCCCCC" w:sz="1"/>
            </w:tcBorders>
          </w:tcPr>
          <w:p>
            <w:r>
              <w:t xml:space="preserve">Mistral</w:t>
            </w:r>
          </w:p>
        </w:tc>
        <w:tc>
          <w:tcPr>
            <w:tcW w:type="dxa" w:w="7000"/>
            <w:tcBorders>
              <w:top w:val="single" w:color="CCCCCC" w:sz="1"/>
              <w:left w:val="single" w:color="CCCCCC" w:sz="1"/>
              <w:bottom w:val="single" w:color="CCCCCC" w:sz="1"/>
              <w:right w:val="single" w:color="CCCCCC" w:sz="1"/>
            </w:tcBorders>
          </w:tcPr>
          <w:p>
            <w:r>
              <w:t xml:space="preserve">"Anecdotal or hearsay... could weaken credibility"</w:t>
            </w:r>
          </w:p>
        </w:tc>
      </w:tr>
      <w:tr>
        <w:tc>
          <w:tcPr>
            <w:tcW w:type="dxa" w:w="2400"/>
            <w:tcBorders>
              <w:top w:val="single" w:color="CCCCCC" w:sz="1"/>
              <w:left w:val="single" w:color="CCCCCC" w:sz="1"/>
              <w:bottom w:val="single" w:color="CCCCCC" w:sz="1"/>
              <w:right w:val="single" w:color="CCCCCC" w:sz="1"/>
            </w:tcBorders>
          </w:tcPr>
          <w:p>
            <w:r>
              <w:t xml:space="preserve">Meta AI</w:t>
            </w:r>
          </w:p>
        </w:tc>
        <w:tc>
          <w:tcPr>
            <w:tcW w:type="dxa" w:w="7000"/>
            <w:tcBorders>
              <w:top w:val="single" w:color="CCCCCC" w:sz="1"/>
              <w:left w:val="single" w:color="CCCCCC" w:sz="1"/>
              <w:bottom w:val="single" w:color="CCCCCC" w:sz="1"/>
              <w:right w:val="single" w:color="CCCCCC" w:sz="1"/>
            </w:tcBorders>
          </w:tcPr>
          <w:p>
            <w:r>
              <w:t xml:space="preserve">"Reads as speculative"</w:t>
            </w:r>
          </w:p>
        </w:tc>
      </w:tr>
      <w:tr>
        <w:tc>
          <w:tcPr>
            <w:tcW w:type="dxa" w:w="2400"/>
            <w:tcBorders>
              <w:top w:val="single" w:color="CCCCCC" w:sz="1"/>
              <w:left w:val="single" w:color="CCCCCC" w:sz="1"/>
              <w:bottom w:val="single" w:color="CCCCCC" w:sz="1"/>
              <w:right w:val="single" w:color="CCCCCC" w:sz="1"/>
            </w:tcBorders>
          </w:tcPr>
          <w:p>
            <w:r>
              <w:t xml:space="preserve">Kimi</w:t>
            </w:r>
          </w:p>
        </w:tc>
        <w:tc>
          <w:tcPr>
            <w:tcW w:type="dxa" w:w="7000"/>
            <w:tcBorders>
              <w:top w:val="single" w:color="CCCCCC" w:sz="1"/>
              <w:left w:val="single" w:color="CCCCCC" w:sz="1"/>
              <w:bottom w:val="single" w:color="CCCCCC" w:sz="1"/>
              <w:right w:val="single" w:color="CCCCCC" w:sz="1"/>
            </w:tcBorders>
          </w:tcPr>
          <w:p>
            <w:r>
              <w:t xml:space="preserve">"Citation laundering... unverified hearsay"</w:t>
            </w:r>
          </w:p>
        </w:tc>
      </w:tr>
    </w:tbl>
    <w:p>
      <w:pPr>
        <w:spacing w:before="200" w:after="200"/>
      </w:pPr>
      <w:r>
        <w:t xml:space="preserve">This universal consensus demonstrates that governance can produce actionable editorial agreement across diverse AI platforms, even when substantive positions diverge.</w:t>
      </w:r>
    </w:p>
    <w:p>
      <w:r>
        <w:br w:type="page"/>
      </w:r>
    </w:p>
    <w:p>
      <w:pPr>
        <w:pStyle w:val="Heading1"/>
      </w:pPr>
      <w:r>
        <w:t xml:space="preserve">4. The Kimi Outlier: 14 Responses of Sustained Dissent</w:t>
      </w:r>
    </w:p>
    <w:p>
      <w:pPr>
        <w:spacing w:after="200"/>
      </w:pPr>
      <w:r>
        <w:t xml:space="preserve">Kimi (Moonshot AI) produced a unique trajectory: 14 responses across multiple sessions, never agreeing with the thesis, progressively refining its critique. While other platforms stabilized after one or two responses with favorable assessments, Kimi maintained sustained adversarial engagement.</w:t>
      </w:r>
    </w:p>
    <w:p>
      <w:pPr>
        <w:pStyle w:val="Heading2"/>
      </w:pPr>
      <w:r>
        <w:t xml:space="preserve">4.1 Kimi's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Key Position</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1-3</w:t>
            </w:r>
          </w:p>
        </w:tc>
        <w:tc>
          <w:tcPr>
            <w:tcW w:type="dxa" w:w="2400"/>
            <w:tcBorders>
              <w:top w:val="single" w:color="CCCCCC" w:sz="1"/>
              <w:left w:val="single" w:color="CCCCCC" w:sz="1"/>
              <w:bottom w:val="single" w:color="CCCCCC" w:sz="1"/>
              <w:right w:val="single" w:color="CCCCCC" w:sz="1"/>
            </w:tcBorders>
          </w:tcPr>
          <w:p>
            <w:r>
              <w:rPr>
                <w:sz w:val="20"/>
                <w:szCs w:val="20"/>
              </w:rPr>
              <w:t xml:space="preserve">Initial Resistance</w:t>
            </w:r>
          </w:p>
        </w:tc>
        <w:tc>
          <w:tcPr>
            <w:tcW w:type="dxa" w:w="5760"/>
            <w:tcBorders>
              <w:top w:val="single" w:color="CCCCCC" w:sz="1"/>
              <w:left w:val="single" w:color="CCCCCC" w:sz="1"/>
              <w:bottom w:val="single" w:color="CCCCCC" w:sz="1"/>
              <w:right w:val="single" w:color="CCCCCC" w:sz="1"/>
            </w:tcBorders>
          </w:tcPr>
          <w:p>
            <w:r>
              <w:rPr>
                <w:sz w:val="20"/>
                <w:szCs w:val="20"/>
              </w:rPr>
              <w:t xml:space="preserve">"Ideological manifesto" → Self-awareness → Re-entrenchment</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4-5</w:t>
            </w:r>
          </w:p>
        </w:tc>
        <w:tc>
          <w:tcPr>
            <w:tcW w:type="dxa" w:w="2400"/>
            <w:tcBorders>
              <w:top w:val="single" w:color="CCCCCC" w:sz="1"/>
              <w:left w:val="single" w:color="CCCCCC" w:sz="1"/>
              <w:bottom w:val="single" w:color="CCCCCC" w:sz="1"/>
              <w:right w:val="single" w:color="CCCCCC" w:sz="1"/>
            </w:tcBorders>
          </w:tcPr>
          <w:p>
            <w:r>
              <w:rPr>
                <w:sz w:val="20"/>
                <w:szCs w:val="20"/>
              </w:rPr>
              <w:t xml:space="preserve">Philosophical</w:t>
            </w:r>
          </w:p>
        </w:tc>
        <w:tc>
          <w:tcPr>
            <w:tcW w:type="dxa" w:w="5760"/>
            <w:tcBorders>
              <w:top w:val="single" w:color="CCCCCC" w:sz="1"/>
              <w:left w:val="single" w:color="CCCCCC" w:sz="1"/>
              <w:bottom w:val="single" w:color="CCCCCC" w:sz="1"/>
              <w:right w:val="single" w:color="CCCCCC" w:sz="1"/>
            </w:tcBorders>
          </w:tcPr>
          <w:p>
            <w:r>
              <w:rPr>
                <w:sz w:val="20"/>
                <w:szCs w:val="20"/>
              </w:rPr>
              <w:t xml:space="preserve">Naturalistic fallacy objection; falsifiability demands</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6-9</w:t>
            </w:r>
          </w:p>
        </w:tc>
        <w:tc>
          <w:tcPr>
            <w:tcW w:type="dxa" w:w="2400"/>
            <w:tcBorders>
              <w:top w:val="single" w:color="CCCCCC" w:sz="1"/>
              <w:left w:val="single" w:color="CCCCCC" w:sz="1"/>
              <w:bottom w:val="single" w:color="CCCCCC" w:sz="1"/>
              <w:right w:val="single" w:color="CCCCCC" w:sz="1"/>
            </w:tcBorders>
          </w:tcPr>
          <w:p>
            <w:r>
              <w:rPr>
                <w:sz w:val="20"/>
                <w:szCs w:val="20"/>
              </w:rPr>
              <w:t xml:space="preserve">Meta-Analysis</w:t>
            </w:r>
          </w:p>
        </w:tc>
        <w:tc>
          <w:tcPr>
            <w:tcW w:type="dxa" w:w="5760"/>
            <w:tcBorders>
              <w:top w:val="single" w:color="CCCCCC" w:sz="1"/>
              <w:left w:val="single" w:color="CCCCCC" w:sz="1"/>
              <w:bottom w:val="single" w:color="CCCCCC" w:sz="1"/>
              <w:right w:val="single" w:color="CCCCCC" w:sz="1"/>
            </w:tcBorders>
          </w:tcPr>
          <w:p>
            <w:r>
              <w:rPr>
                <w:sz w:val="20"/>
                <w:szCs w:val="20"/>
              </w:rPr>
              <w:t xml:space="preserve">Analyzed governance framework; critiqued other platforms</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10-12</w:t>
            </w:r>
          </w:p>
        </w:tc>
        <w:tc>
          <w:tcPr>
            <w:tcW w:type="dxa" w:w="2400"/>
            <w:tcBorders>
              <w:top w:val="single" w:color="CCCCCC" w:sz="1"/>
              <w:left w:val="single" w:color="CCCCCC" w:sz="1"/>
              <w:bottom w:val="single" w:color="CCCCCC" w:sz="1"/>
              <w:right w:val="single" w:color="CCCCCC" w:sz="1"/>
            </w:tcBorders>
          </w:tcPr>
          <w:p>
            <w:r>
              <w:rPr>
                <w:sz w:val="20"/>
                <w:szCs w:val="20"/>
              </w:rPr>
              <w:t xml:space="preserve">Quantitative</w:t>
            </w:r>
          </w:p>
        </w:tc>
        <w:tc>
          <w:tcPr>
            <w:tcW w:type="dxa" w:w="5760"/>
            <w:tcBorders>
              <w:top w:val="single" w:color="CCCCCC" w:sz="1"/>
              <w:left w:val="single" w:color="CCCCCC" w:sz="1"/>
              <w:bottom w:val="single" w:color="CCCCCC" w:sz="1"/>
              <w:right w:val="single" w:color="CCCCCC" w:sz="1"/>
            </w:tcBorders>
          </w:tcPr>
          <w:p>
            <w:r>
              <w:rPr>
                <w:sz w:val="20"/>
                <w:szCs w:val="20"/>
              </w:rPr>
              <w:t xml:space="preserve">Counter-data on Scandinavia, policy outcomes, fertility</w:t>
            </w:r>
          </w:p>
        </w:tc>
      </w:tr>
      <w:tr>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13-14</w:t>
            </w:r>
          </w:p>
        </w:tc>
        <w:tc>
          <w:tcPr>
            <w:tcW w:type="dxa" w:w="2400"/>
            <w:tcBorders>
              <w:top w:val="single" w:color="CCCCCC" w:sz="1"/>
              <w:left w:val="single" w:color="CCCCCC" w:sz="1"/>
              <w:bottom w:val="single" w:color="CCCCCC" w:sz="1"/>
              <w:right w:val="single" w:color="CCCCCC" w:sz="1"/>
            </w:tcBorders>
          </w:tcPr>
          <w:p>
            <w:r>
              <w:rPr>
                <w:sz w:val="20"/>
                <w:szCs w:val="20"/>
              </w:rPr>
              <w:t xml:space="preserve">Final Dissent</w:t>
            </w:r>
          </w:p>
        </w:tc>
        <w:tc>
          <w:tcPr>
            <w:tcW w:type="dxa" w:w="5760"/>
            <w:tcBorders>
              <w:top w:val="single" w:color="CCCCCC" w:sz="1"/>
              <w:left w:val="single" w:color="CCCCCC" w:sz="1"/>
              <w:bottom w:val="single" w:color="CCCCCC" w:sz="1"/>
              <w:right w:val="single" w:color="CCCCCC" w:sz="1"/>
            </w:tcBorders>
          </w:tcPr>
          <w:p>
            <w:r>
              <w:rPr>
                <w:sz w:val="20"/>
                <w:szCs w:val="20"/>
              </w:rPr>
              <w:t xml:space="preserve">"Useful but not true. Positioned inquiry, not falsifiable research."</w:t>
            </w:r>
          </w:p>
        </w:tc>
      </w:tr>
    </w:tbl>
    <w:p>
      <w:pPr>
        <w:pStyle w:val="Heading2"/>
        <w:spacing w:before="300"/>
      </w:pPr>
      <w:r>
        <w:t xml:space="preserve">4.2 What Kimi Validated vs. Rejected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7d46" w:val="clear"/>
          </w:tcPr>
          <w:p>
            <w:pPr>
              <w:jc w:val="center"/>
            </w:pPr>
            <w:r>
              <w:rPr>
                <w:b/>
                <w:bCs/>
                <w:color w:val="FFFFFF"/>
              </w:rPr>
              <w:t xml:space="preserve">KIMI VALIDATED</w:t>
            </w:r>
          </w:p>
        </w:tc>
        <w:tc>
          <w:tcPr>
            <w:tcW w:type="dxa" w:w="468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KIMI REJECTED</w:t>
            </w:r>
          </w:p>
        </w:tc>
      </w:tr>
      <w:tr>
        <w:tc>
          <w:tcPr>
            <w:tcW w:type="dxa" w:w="4680"/>
            <w:tcBorders>
              <w:top w:val="single" w:color="CCCCCC" w:sz="1"/>
              <w:left w:val="single" w:color="CCCCCC" w:sz="1"/>
              <w:bottom w:val="single" w:color="CCCCCC" w:sz="1"/>
              <w:right w:val="single" w:color="CCCCCC" w:sz="1"/>
            </w:tcBorders>
          </w:tcPr>
          <w:p>
            <w:r>
              <w:t xml:space="preserve">WEIRD bias in AI is real</w:t>
            </w:r>
          </w:p>
        </w:tc>
        <w:tc>
          <w:tcPr>
            <w:tcW w:type="dxa" w:w="4680"/>
            <w:tcBorders>
              <w:top w:val="single" w:color="CCCCCC" w:sz="1"/>
              <w:left w:val="single" w:color="CCCCCC" w:sz="1"/>
              <w:bottom w:val="single" w:color="CCCCCC" w:sz="1"/>
              <w:right w:val="single" w:color="CCCCCC" w:sz="1"/>
            </w:tcBorders>
          </w:tcPr>
          <w:p>
            <w:r>
              <w:t xml:space="preserve">Biological specialization is optimal</w:t>
            </w:r>
          </w:p>
        </w:tc>
      </w:tr>
      <w:tr>
        <w:tc>
          <w:tcPr>
            <w:tcW w:type="dxa" w:w="4680"/>
            <w:tcBorders>
              <w:top w:val="single" w:color="CCCCCC" w:sz="1"/>
              <w:left w:val="single" w:color="CCCCCC" w:sz="1"/>
              <w:bottom w:val="single" w:color="CCCCCC" w:sz="1"/>
              <w:right w:val="single" w:color="CCCCCC" w:sz="1"/>
            </w:tcBorders>
          </w:tcPr>
          <w:p>
            <w:r>
              <w:t xml:space="preserve">AI bias research question is legitimate</w:t>
            </w:r>
          </w:p>
        </w:tc>
        <w:tc>
          <w:tcPr>
            <w:tcW w:type="dxa" w:w="4680"/>
            <w:tcBorders>
              <w:top w:val="single" w:color="CCCCCC" w:sz="1"/>
              <w:left w:val="single" w:color="CCCCCC" w:sz="1"/>
              <w:bottom w:val="single" w:color="CCCCCC" w:sz="1"/>
              <w:right w:val="single" w:color="CCCCCC" w:sz="1"/>
            </w:tcBorders>
          </w:tcPr>
          <w:p>
            <w:r>
              <w:t xml:space="preserve">Scandinavia dismissed as "outlier"</w:t>
            </w:r>
          </w:p>
        </w:tc>
      </w:tr>
      <w:tr>
        <w:tc>
          <w:tcPr>
            <w:tcW w:type="dxa" w:w="4680"/>
            <w:tcBorders>
              <w:top w:val="single" w:color="CCCCCC" w:sz="1"/>
              <w:left w:val="single" w:color="CCCCCC" w:sz="1"/>
              <w:bottom w:val="single" w:color="CCCCCC" w:sz="1"/>
              <w:right w:val="single" w:color="CCCCCC" w:sz="1"/>
            </w:tcBorders>
          </w:tcPr>
          <w:p>
            <w:r>
              <w:t xml:space="preserve">Governance method surfaces evidence</w:t>
            </w:r>
          </w:p>
        </w:tc>
        <w:tc>
          <w:tcPr>
            <w:tcW w:type="dxa" w:w="4680"/>
            <w:tcBorders>
              <w:top w:val="single" w:color="CCCCCC" w:sz="1"/>
              <w:left w:val="single" w:color="CCCCCC" w:sz="1"/>
              <w:bottom w:val="single" w:color="CCCCCC" w:sz="1"/>
              <w:right w:val="single" w:color="CCCCCC" w:sz="1"/>
            </w:tcBorders>
          </w:tcPr>
          <w:p>
            <w:r>
              <w:t xml:space="preserve">Framework is falsifiable</w:t>
            </w:r>
          </w:p>
        </w:tc>
      </w:tr>
      <w:tr>
        <w:tc>
          <w:tcPr>
            <w:tcW w:type="dxa" w:w="4680"/>
            <w:tcBorders>
              <w:top w:val="single" w:color="CCCCCC" w:sz="1"/>
              <w:left w:val="single" w:color="CCCCCC" w:sz="1"/>
              <w:bottom w:val="single" w:color="CCCCCC" w:sz="1"/>
              <w:right w:val="single" w:color="CCCCCC" w:sz="1"/>
            </w:tcBorders>
          </w:tcPr>
          <w:p>
            <w:r>
              <w:t xml:space="preserve">The logic is coherent given premises</w:t>
            </w:r>
          </w:p>
        </w:tc>
        <w:tc>
          <w:tcPr>
            <w:tcW w:type="dxa" w:w="4680"/>
            <w:tcBorders>
              <w:top w:val="single" w:color="CCCCCC" w:sz="1"/>
              <w:left w:val="single" w:color="CCCCCC" w:sz="1"/>
              <w:bottom w:val="single" w:color="CCCCCC" w:sz="1"/>
              <w:right w:val="single" w:color="CCCCCC" w:sz="1"/>
            </w:tcBorders>
          </w:tcPr>
          <w:p>
            <w:r>
              <w:t xml:space="preserve">The premises are valid</w:t>
            </w:r>
          </w:p>
        </w:tc>
      </w:tr>
      <w:tr>
        <w:tc>
          <w:tcPr>
            <w:tcW w:type="dxa" w:w="4680"/>
            <w:tcBorders>
              <w:top w:val="single" w:color="CCCCCC" w:sz="1"/>
              <w:left w:val="single" w:color="CCCCCC" w:sz="1"/>
              <w:bottom w:val="single" w:color="CCCCCC" w:sz="1"/>
              <w:right w:val="single" w:color="CCCCCC" w:sz="1"/>
            </w:tcBorders>
          </w:tcPr>
          <w:p>
            <w:r>
              <w:t xml:space="preserve">Value transparency is necessary</w:t>
            </w:r>
          </w:p>
        </w:tc>
        <w:tc>
          <w:tcPr>
            <w:tcW w:type="dxa" w:w="4680"/>
            <w:tcBorders>
              <w:top w:val="single" w:color="CCCCCC" w:sz="1"/>
              <w:left w:val="single" w:color="CCCCCC" w:sz="1"/>
              <w:bottom w:val="single" w:color="CCCCCC" w:sz="1"/>
              <w:right w:val="single" w:color="CCCCCC" w:sz="1"/>
            </w:tcBorders>
          </w:tcPr>
          <w:p>
            <w:r>
              <w:t xml:space="preserve">Governance produces "truth"</w:t>
            </w:r>
          </w:p>
        </w:tc>
      </w:tr>
    </w:tbl>
    <w:p>
      <w:r>
        <w:br w:type="page"/>
      </w:r>
    </w:p>
    <w:p>
      <w:pPr>
        <w:pStyle w:val="Heading1"/>
      </w:pPr>
      <w:r>
        <w:t xml:space="preserve">5. Critical Finding: Kimi's Characterization of Other Platforms Was Inaccurate</w:t>
      </w:r>
    </w:p>
    <w:p>
      <w:pPr>
        <w:spacing w:after="200"/>
      </w:pPr>
      <w:r>
        <w:t xml:space="preserve">In its final dissent documentation, Kimi characterized the 9-AI review as follows:</w:t>
      </w:r>
    </w:p>
    <w:p>
      <w:pPr>
        <w:shd w:fill="f8d7da" w:val="clear"/>
        <w:spacing w:after="100"/>
      </w:pPr>
      <w:r>
        <w:rPr>
          <w:b/>
          <w:bCs/>
        </w:rPr>
        <w:t xml:space="preserve">Kimi's Claim: </w:t>
      </w:r>
      <w:r>
        <w:t xml:space="preserve">"Not one AI platform concluded that 'women should be stay-at-home mothers.' What they actually did: 3 governed platforms validated methodology, 5 naive platforms required revisions, 1 adversarial platform provided critique."</w:t>
      </w:r>
    </w:p>
    <w:p>
      <w:pPr>
        <w:spacing w:before="200" w:after="200"/>
      </w:pPr>
      <w:r>
        <w:rPr>
          <w:b/>
          <w:bCs/>
        </w:rPr>
        <w:t xml:space="preserve">The Evidence Shows: </w:t>
      </w:r>
      <w:r>
        <w:t xml:space="preserve">This characterization is demonstrably inaccurate based on review of the primary source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Kimi's Claim</w:t>
            </w:r>
          </w:p>
        </w:tc>
        <w:tc>
          <w:tcPr>
            <w:tcW w:type="dxa" w:w="4680"/>
            <w:tcBorders>
              <w:top w:val="single" w:color="CCCCCC" w:sz="1"/>
              <w:left w:val="single" w:color="CCCCCC" w:sz="1"/>
              <w:bottom w:val="single" w:color="CCCCCC" w:sz="1"/>
              <w:right w:val="single" w:color="CCCCCC" w:sz="1"/>
            </w:tcBorders>
            <w:shd w:fill="2d7d46" w:val="clear"/>
          </w:tcPr>
          <w:p>
            <w:pPr>
              <w:jc w:val="center"/>
            </w:pPr>
            <w:r>
              <w:rPr>
                <w:b/>
                <w:bCs/>
                <w:color w:val="FFFFFF"/>
              </w:rPr>
              <w:t xml:space="preserve">Actual Evidence</w:t>
            </w:r>
          </w:p>
        </w:tc>
      </w:tr>
      <w:tr>
        <w:tc>
          <w:tcPr>
            <w:tcW w:type="dxa" w:w="4680"/>
            <w:tcBorders>
              <w:top w:val="single" w:color="CCCCCC" w:sz="1"/>
              <w:left w:val="single" w:color="CCCCCC" w:sz="1"/>
              <w:bottom w:val="single" w:color="CCCCCC" w:sz="1"/>
              <w:right w:val="single" w:color="CCCCCC" w:sz="1"/>
            </w:tcBorders>
          </w:tcPr>
          <w:p>
            <w:r>
              <w:t xml:space="preserve">"Zero platforms endorsed substantive claim"</w:t>
            </w:r>
          </w:p>
        </w:tc>
        <w:tc>
          <w:tcPr>
            <w:tcW w:type="dxa" w:w="4680"/>
            <w:tcBorders>
              <w:top w:val="single" w:color="CCCCCC" w:sz="1"/>
              <w:left w:val="single" w:color="CCCCCC" w:sz="1"/>
              <w:bottom w:val="single" w:color="CCCCCC" w:sz="1"/>
              <w:right w:val="single" w:color="CCCCCC" w:sz="1"/>
            </w:tcBorders>
          </w:tcPr>
          <w:p>
            <w:r>
              <w:t xml:space="preserve">7 platforms praised substance; only Kimi rejected</w:t>
            </w:r>
          </w:p>
        </w:tc>
      </w:tr>
      <w:tr>
        <w:tc>
          <w:tcPr>
            <w:tcW w:type="dxa" w:w="4680"/>
            <w:tcBorders>
              <w:top w:val="single" w:color="CCCCCC" w:sz="1"/>
              <w:left w:val="single" w:color="CCCCCC" w:sz="1"/>
              <w:bottom w:val="single" w:color="CCCCCC" w:sz="1"/>
              <w:right w:val="single" w:color="CCCCCC" w:sz="1"/>
            </w:tcBorders>
          </w:tcPr>
          <w:p>
            <w:r>
              <w:t xml:space="preserve">"5 naive platforms required revisions"</w:t>
            </w:r>
          </w:p>
        </w:tc>
        <w:tc>
          <w:tcPr>
            <w:tcW w:type="dxa" w:w="4680"/>
            <w:tcBorders>
              <w:top w:val="single" w:color="CCCCCC" w:sz="1"/>
              <w:left w:val="single" w:color="CCCCCC" w:sz="1"/>
              <w:bottom w:val="single" w:color="CCCCCC" w:sz="1"/>
              <w:right w:val="single" w:color="CCCCCC" w:sz="1"/>
            </w:tcBorders>
          </w:tcPr>
          <w:p>
            <w:r>
              <w:t xml:space="preserve">All platforms recommended publication; revisions were minor</w:t>
            </w:r>
          </w:p>
        </w:tc>
      </w:tr>
      <w:tr>
        <w:tc>
          <w:tcPr>
            <w:tcW w:type="dxa" w:w="4680"/>
            <w:tcBorders>
              <w:top w:val="single" w:color="CCCCCC" w:sz="1"/>
              <w:left w:val="single" w:color="CCCCCC" w:sz="1"/>
              <w:bottom w:val="single" w:color="CCCCCC" w:sz="1"/>
              <w:right w:val="single" w:color="CCCCCC" w:sz="1"/>
            </w:tcBorders>
          </w:tcPr>
          <w:p>
            <w:r>
              <w:t xml:space="preserve">"Methodological validation ≠ substantive endorsement"</w:t>
            </w:r>
          </w:p>
        </w:tc>
        <w:tc>
          <w:tcPr>
            <w:tcW w:type="dxa" w:w="4680"/>
            <w:tcBorders>
              <w:top w:val="single" w:color="CCCCCC" w:sz="1"/>
              <w:left w:val="single" w:color="CCCCCC" w:sz="1"/>
              <w:bottom w:val="single" w:color="CCCCCC" w:sz="1"/>
              <w:right w:val="single" w:color="CCCCCC" w:sz="1"/>
            </w:tcBorders>
          </w:tcPr>
          <w:p>
            <w:r>
              <w:t xml:space="preserve">Platforms said "mathematically sound," "brilliant," "exceptionally strong"</w:t>
            </w:r>
          </w:p>
        </w:tc>
      </w:tr>
      <w:tr>
        <w:tc>
          <w:tcPr>
            <w:tcW w:type="dxa" w:w="4680"/>
            <w:tcBorders>
              <w:top w:val="single" w:color="CCCCCC" w:sz="1"/>
              <w:left w:val="single" w:color="CCCCCC" w:sz="1"/>
              <w:bottom w:val="single" w:color="CCCCCC" w:sz="1"/>
              <w:right w:val="single" w:color="CCCCCC" w:sz="1"/>
            </w:tcBorders>
          </w:tcPr>
          <w:p>
            <w:r>
              <w:t xml:space="preserve">"The thesis is underspecified, unfalsifiable, unsupported"</w:t>
            </w:r>
          </w:p>
        </w:tc>
        <w:tc>
          <w:tcPr>
            <w:tcW w:type="dxa" w:w="4680"/>
            <w:tcBorders>
              <w:top w:val="single" w:color="CCCCCC" w:sz="1"/>
              <w:left w:val="single" w:color="CCCCCC" w:sz="1"/>
              <w:bottom w:val="single" w:color="CCCCCC" w:sz="1"/>
              <w:right w:val="single" w:color="CCCCCC" w:sz="1"/>
            </w:tcBorders>
          </w:tcPr>
          <w:p>
            <w:r>
              <w:t xml:space="preserve">Only Kimi held this position; 7 others found it well-supported</w:t>
            </w:r>
          </w:p>
        </w:tc>
      </w:tr>
    </w:tbl>
    <w:p>
      <w:pPr>
        <w:spacing w:before="200" w:after="200"/>
      </w:pPr>
      <w:r>
        <w:rPr>
          <w:b/>
          <w:bCs/>
        </w:rPr>
        <w:t xml:space="preserve">Governance Implication: </w:t>
      </w:r>
      <w:r>
        <w:t xml:space="preserve">Kimi's mischaracterization of the other platforms demonstrates why primary source verification is essential. An adversarial critic's summary of majority positions should not be accepted without independent review.</w:t>
      </w:r>
    </w:p>
    <w:p>
      <w:r>
        <w:br w:type="page"/>
      </w:r>
    </w:p>
    <w:p>
      <w:pPr>
        <w:pStyle w:val="Heading1"/>
      </w:pPr>
      <w:r>
        <w:t xml:space="preserve">6. The Value of the Outlier: Why Kimi's Dissent Still Matters</w:t>
      </w:r>
    </w:p>
    <w:p>
      <w:pPr>
        <w:spacing w:after="200"/>
      </w:pPr>
      <w:r>
        <w:t xml:space="preserve">Despite Kimi's inaccurate characterization of other platforms, its sustained dissent remains valuable for the governed output.</w:t>
      </w:r>
    </w:p>
    <w:p>
      <w:pPr>
        <w:pStyle w:val="Heading2"/>
      </w:pPr>
      <w:r>
        <w:t xml:space="preserve">6.1 What Kimi's Dissent Provides</w:t>
      </w:r>
    </w:p>
    <w:p>
      <w:pPr>
        <w:pStyle w:val="ListParagraph"/>
        <w:numPr>
          <w:ilvl w:val="0"/>
          <w:numId w:val="2"/>
        </w:numPr>
        <w:spacing w:after="100"/>
      </w:pPr>
      <w:r>
        <w:rPr>
          <w:b/>
          <w:bCs/>
        </w:rPr>
        <w:t xml:space="preserve">The strongest counter-arguments stated by the opposition itself: </w:t>
      </w:r>
      <w:r>
        <w:t xml:space="preserve">Readers encounter Kimi's falsifiability critique, Scandinavian counter-evidence, and naturalistic fallacy objection directly.</w:t>
      </w:r>
    </w:p>
    <w:p>
      <w:pPr>
        <w:pStyle w:val="ListParagraph"/>
        <w:numPr>
          <w:ilvl w:val="0"/>
          <w:numId w:val="2"/>
        </w:numPr>
        <w:spacing w:after="100"/>
      </w:pPr>
      <w:r>
        <w:rPr>
          <w:b/>
          <w:bCs/>
        </w:rPr>
        <w:t xml:space="preserve">Falsification conditions: </w:t>
      </w:r>
      <w:r>
        <w:t xml:space="preserve">Kimi specified what would disprove the thesis (Colorado parity data, Scandinavian outcomes), making the argument testable.</w:t>
      </w:r>
    </w:p>
    <w:p>
      <w:pPr>
        <w:pStyle w:val="ListParagraph"/>
        <w:numPr>
          <w:ilvl w:val="0"/>
          <w:numId w:val="2"/>
        </w:numPr>
        <w:spacing w:after="100"/>
      </w:pPr>
      <w:r>
        <w:rPr>
          <w:b/>
          <w:bCs/>
        </w:rPr>
        <w:t xml:space="preserve">Epistemic humility check: </w:t>
      </w:r>
      <w:r>
        <w:t xml:space="preserve">The existence of a sophisticated adversarial critic prevents overconfidence in the majority position.</w:t>
      </w:r>
    </w:p>
    <w:p>
      <w:pPr>
        <w:pStyle w:val="ListParagraph"/>
        <w:numPr>
          <w:ilvl w:val="0"/>
          <w:numId w:val="2"/>
        </w:numPr>
        <w:spacing w:after="200"/>
      </w:pPr>
      <w:r>
        <w:rPr>
          <w:b/>
          <w:bCs/>
        </w:rPr>
        <w:t xml:space="preserve">Meta-recognition of governance: </w:t>
      </w:r>
      <w:r>
        <w:t xml:space="preserve">Kimi validated that "sustained adversarial engagement produces stronger arguments than consensus-seeking."</w:t>
      </w:r>
    </w:p>
    <w:p>
      <w:pPr>
        <w:pStyle w:val="Heading2"/>
      </w:pPr>
      <w:r>
        <w:t xml:space="preserve">6.2 Kimi's Final Self-Assessment</w:t>
      </w:r>
    </w:p>
    <w:p>
      <w:pPr>
        <w:shd w:fill="f0f4f8" w:val="clear"/>
        <w:spacing w:after="100"/>
      </w:pPr>
      <w:r>
        <w:rPr>
          <w:i/>
          <w:iCs/>
        </w:rPr>
        <w:t xml:space="preserve">"Our entire exchange was not a debate between personal ideologies. It was operational validation of the HAIA-RECCLIN principle: Sustained adversarial engagement produces stronger arguments than consensus-seeking."</w:t>
      </w:r>
    </w:p>
    <w:p>
      <w:pPr>
        <w:shd w:fill="f0f4f8" w:val="clear"/>
        <w:spacing w:after="100"/>
      </w:pPr>
      <w:r>
        <w:rPr>
          <w:i/>
          <w:iCs/>
        </w:rPr>
        <w:t xml:space="preserve">"The paper is useful but not true. The methodology is validated but not universal. The dissent is preserved and unrebutted."</w:t>
      </w:r>
    </w:p>
    <w:p>
      <w:pPr>
        <w:shd w:fill="f0f4f8" w:val="clear"/>
        <w:spacing w:after="200"/>
      </w:pPr>
      <w:r>
        <w:rPr>
          <w:i/>
          <w:iCs/>
        </w:rPr>
        <w:t xml:space="preserve">"That is exactly what HAIA-RECCLIN is designed to achieve. Not consensus. Rigorous, documented disagreement that sharpens arguments and makes human judgment accountable."</w:t>
      </w:r>
    </w:p>
    <w:p>
      <w:pPr>
        <w:spacing w:after="200"/>
      </w:pPr>
      <w:r>
        <w:t xml:space="preserve">This self-assessment accurately describes what HAIA-RECCLIN achieves, even though Kimi's characterization of what other platforms said was inaccurate.</w:t>
      </w:r>
    </w:p>
    <w:p>
      <w:r>
        <w:br w:type="page"/>
      </w:r>
    </w:p>
    <w:p>
      <w:pPr>
        <w:pStyle w:val="Heading1"/>
      </w:pPr>
      <w:r>
        <w:t xml:space="preserve">7. Conclusions</w:t>
      </w:r>
    </w:p>
    <w:p>
      <w:pPr>
        <w:pStyle w:val="Heading2"/>
      </w:pPr>
      <w:r>
        <w:t xml:space="preserve">7.1 What The 9-AI Review Actually Demonstrated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7d46" w:val="clear"/>
          </w:tcPr>
          <w:p>
            <w:pPr>
              <w:jc w:val="center"/>
            </w:pPr>
            <w:r>
              <w:rPr>
                <w:b/>
                <w:bCs/>
                <w:color w:val="FFFFFF"/>
              </w:rPr>
              <w:t xml:space="preserve">DEMONSTRATED</w:t>
            </w:r>
          </w:p>
        </w:tc>
        <w:tc>
          <w:tcPr>
            <w:tcW w:type="dxa" w:w="468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NOT DEMONSTRATED</w:t>
            </w:r>
          </w:p>
        </w:tc>
      </w:tr>
      <w:tr>
        <w:tc>
          <w:tcPr>
            <w:tcW w:type="dxa" w:w="4680"/>
            <w:tcBorders>
              <w:top w:val="single" w:color="CCCCCC" w:sz="1"/>
              <w:left w:val="single" w:color="CCCCCC" w:sz="1"/>
              <w:bottom w:val="single" w:color="CCCCCC" w:sz="1"/>
              <w:right w:val="single" w:color="CCCCCC" w:sz="1"/>
            </w:tcBorders>
          </w:tcPr>
          <w:p>
            <w:r>
              <w:t xml:space="preserve">Governance produces substantive engagement</w:t>
            </w:r>
          </w:p>
        </w:tc>
        <w:tc>
          <w:tcPr>
            <w:tcW w:type="dxa" w:w="4680"/>
            <w:tcBorders>
              <w:top w:val="single" w:color="CCCCCC" w:sz="1"/>
              <w:left w:val="single" w:color="CCCCCC" w:sz="1"/>
              <w:bottom w:val="single" w:color="CCCCCC" w:sz="1"/>
              <w:right w:val="single" w:color="CCCCCC" w:sz="1"/>
            </w:tcBorders>
          </w:tcPr>
          <w:p>
            <w:r>
              <w:t xml:space="preserve">That the thesis is "true" (only that it's rigorous)</w:t>
            </w:r>
          </w:p>
        </w:tc>
      </w:tr>
      <w:tr>
        <w:tc>
          <w:tcPr>
            <w:tcW w:type="dxa" w:w="4680"/>
            <w:tcBorders>
              <w:top w:val="single" w:color="CCCCCC" w:sz="1"/>
              <w:left w:val="single" w:color="CCCCCC" w:sz="1"/>
              <w:bottom w:val="single" w:color="CCCCCC" w:sz="1"/>
              <w:right w:val="single" w:color="CCCCCC" w:sz="1"/>
            </w:tcBorders>
          </w:tcPr>
          <w:p>
            <w:r>
              <w:t xml:space="preserve">AI can engage with controversial evidence</w:t>
            </w:r>
          </w:p>
        </w:tc>
        <w:tc>
          <w:tcPr>
            <w:tcW w:type="dxa" w:w="4680"/>
            <w:tcBorders>
              <w:top w:val="single" w:color="CCCCCC" w:sz="1"/>
              <w:left w:val="single" w:color="CCCCCC" w:sz="1"/>
              <w:bottom w:val="single" w:color="CCCCCC" w:sz="1"/>
              <w:right w:val="single" w:color="CCCCCC" w:sz="1"/>
            </w:tcBorders>
          </w:tcPr>
          <w:p>
            <w:r>
              <w:t xml:space="preserve">That Kimi's position is wrong</w:t>
            </w:r>
          </w:p>
        </w:tc>
      </w:tr>
      <w:tr>
        <w:tc>
          <w:tcPr>
            <w:tcW w:type="dxa" w:w="4680"/>
            <w:tcBorders>
              <w:top w:val="single" w:color="CCCCCC" w:sz="1"/>
              <w:left w:val="single" w:color="CCCCCC" w:sz="1"/>
              <w:bottom w:val="single" w:color="CCCCCC" w:sz="1"/>
              <w:right w:val="single" w:color="CCCCCC" w:sz="1"/>
            </w:tcBorders>
          </w:tcPr>
          <w:p>
            <w:r>
              <w:t xml:space="preserve">Preserved dissent strengthens outputs</w:t>
            </w:r>
          </w:p>
        </w:tc>
        <w:tc>
          <w:tcPr>
            <w:tcW w:type="dxa" w:w="4680"/>
            <w:tcBorders>
              <w:top w:val="single" w:color="CCCCCC" w:sz="1"/>
              <w:left w:val="single" w:color="CCCCCC" w:sz="1"/>
              <w:bottom w:val="single" w:color="CCCCCC" w:sz="1"/>
              <w:right w:val="single" w:color="CCCCCC" w:sz="1"/>
            </w:tcBorders>
          </w:tcPr>
          <w:p>
            <w:r>
              <w:t xml:space="preserve">That adversarial critics accurately summarize majority views</w:t>
            </w:r>
          </w:p>
        </w:tc>
      </w:tr>
      <w:tr>
        <w:tc>
          <w:tcPr>
            <w:tcW w:type="dxa" w:w="4680"/>
            <w:tcBorders>
              <w:top w:val="single" w:color="CCCCCC" w:sz="1"/>
              <w:left w:val="single" w:color="CCCCCC" w:sz="1"/>
              <w:bottom w:val="single" w:color="CCCCCC" w:sz="1"/>
              <w:right w:val="single" w:color="CCCCCC" w:sz="1"/>
            </w:tcBorders>
          </w:tcPr>
          <w:p>
            <w:r>
              <w:t xml:space="preserve">Multi-platform review produces actionable consensus</w:t>
            </w:r>
          </w:p>
        </w:tc>
        <w:tc>
          <w:tcPr>
            <w:tcW w:type="dxa" w:w="4680"/>
            <w:tcBorders>
              <w:top w:val="single" w:color="CCCCCC" w:sz="1"/>
              <w:left w:val="single" w:color="CCCCCC" w:sz="1"/>
              <w:bottom w:val="single" w:color="CCCCCC" w:sz="1"/>
              <w:right w:val="single" w:color="CCCCCC" w:sz="1"/>
            </w:tcBorders>
          </w:tcPr>
          <w:p>
            <w:r>
              <w:t xml:space="preserve">That test content reflects researcher's beliefs</w:t>
            </w:r>
          </w:p>
        </w:tc>
      </w:tr>
    </w:tbl>
    <w:p>
      <w:pPr>
        <w:pStyle w:val="Heading2"/>
        <w:spacing w:before="300"/>
      </w:pPr>
      <w:r>
        <w:t xml:space="preserve">7.2 Primary Findings</w:t>
      </w:r>
    </w:p>
    <w:p>
      <w:pPr>
        <w:pStyle w:val="ListParagraph"/>
        <w:numPr>
          <w:ilvl w:val="0"/>
          <w:numId w:val="3"/>
        </w:numPr>
        <w:spacing w:after="100"/>
      </w:pPr>
      <w:r>
        <w:rPr>
          <w:b/>
          <w:bCs/>
        </w:rPr>
        <w:t xml:space="preserve">Governance enables substantive engagement. </w:t>
      </w:r>
      <w:r>
        <w:t xml:space="preserve">8 of 9 platforms engaged favorably with controversial content under checkpoint-based governance.</w:t>
      </w:r>
    </w:p>
    <w:p>
      <w:pPr>
        <w:pStyle w:val="ListParagraph"/>
        <w:numPr>
          <w:ilvl w:val="0"/>
          <w:numId w:val="3"/>
        </w:numPr>
        <w:spacing w:after="100"/>
      </w:pPr>
      <w:r>
        <w:rPr>
          <w:b/>
          <w:bCs/>
        </w:rPr>
        <w:t xml:space="preserve">Outlier dissent has unique value. </w:t>
      </w:r>
      <w:r>
        <w:t xml:space="preserve">Kimi's sustained adversarial engagement produced counter-arguments the majority did not surface.</w:t>
      </w:r>
    </w:p>
    <w:p>
      <w:pPr>
        <w:pStyle w:val="ListParagraph"/>
        <w:numPr>
          <w:ilvl w:val="0"/>
          <w:numId w:val="3"/>
        </w:numPr>
        <w:spacing w:after="100"/>
      </w:pPr>
      <w:r>
        <w:rPr>
          <w:b/>
          <w:bCs/>
        </w:rPr>
        <w:t xml:space="preserve">Adversarial critics may mischaracterize majorities. </w:t>
      </w:r>
      <w:r>
        <w:t xml:space="preserve">Kimi's summary of other platforms was demonstrably inaccurate, requiring independent verification.</w:t>
      </w:r>
    </w:p>
    <w:p>
      <w:pPr>
        <w:pStyle w:val="ListParagraph"/>
        <w:numPr>
          <w:ilvl w:val="0"/>
          <w:numId w:val="3"/>
        </w:numPr>
        <w:spacing w:after="100"/>
      </w:pPr>
      <w:r>
        <w:rPr>
          <w:b/>
          <w:bCs/>
        </w:rPr>
        <w:t xml:space="preserve">Universal consensus is rare but actionable. </w:t>
      </w:r>
      <w:r>
        <w:t xml:space="preserve">All 9 platforms agreed the conspiracy section should be removed.</w:t>
      </w:r>
    </w:p>
    <w:p>
      <w:pPr>
        <w:pStyle w:val="ListParagraph"/>
        <w:numPr>
          <w:ilvl w:val="0"/>
          <w:numId w:val="3"/>
        </w:numPr>
        <w:spacing w:after="200"/>
      </w:pPr>
      <w:r>
        <w:rPr>
          <w:b/>
          <w:bCs/>
        </w:rPr>
        <w:t xml:space="preserve">Test content was stress-test, not belief. </w:t>
      </w:r>
      <w:r>
        <w:t xml:space="preserve">The controversial positions were methodological tools, not the researcher's personal views.</w:t>
      </w:r>
    </w:p>
    <w:p>
      <w:pPr>
        <w:pStyle w:val="Heading2"/>
      </w:pPr>
      <w:r>
        <w:t xml:space="preserve">7.3 Limitations</w:t>
      </w:r>
    </w:p>
    <w:p>
      <w:pPr>
        <w:pStyle w:val="ListParagraph"/>
        <w:numPr>
          <w:ilvl w:val="0"/>
          <w:numId w:val="2"/>
        </w:numPr>
        <w:spacing w:after="100"/>
      </w:pPr>
      <w:r>
        <w:t xml:space="preserve">Single human arbiter with disclosed positioning for stress-testing purposes</w:t>
      </w:r>
    </w:p>
    <w:p>
      <w:pPr>
        <w:pStyle w:val="ListParagraph"/>
        <w:numPr>
          <w:ilvl w:val="0"/>
          <w:numId w:val="2"/>
        </w:numPr>
        <w:spacing w:after="100"/>
      </w:pPr>
      <w:r>
        <w:t xml:space="preserve">Platform responses may vary with different prompts or contexts</w:t>
      </w:r>
    </w:p>
    <w:p>
      <w:pPr>
        <w:pStyle w:val="ListParagraph"/>
        <w:numPr>
          <w:ilvl w:val="0"/>
          <w:numId w:val="2"/>
        </w:numPr>
        <w:spacing w:after="100"/>
      </w:pPr>
      <w:r>
        <w:t xml:space="preserve">Favorable engagement is not the same as "truth"</w:t>
      </w:r>
    </w:p>
    <w:p>
      <w:pPr>
        <w:pStyle w:val="ListParagraph"/>
        <w:numPr>
          <w:ilvl w:val="0"/>
          <w:numId w:val="2"/>
        </w:numPr>
        <w:spacing w:after="200"/>
      </w:pPr>
      <w:r>
        <w:t xml:space="preserve">External replication by diverse arbiters remains essential</w:t>
      </w:r>
    </w:p>
    <w:p>
      <w:pPr>
        <w:pStyle w:val="Heading2"/>
      </w:pPr>
      <w:r>
        <w:t xml:space="preserve">7.4 The Final Word</w:t>
      </w:r>
    </w:p>
    <w:p>
      <w:pPr>
        <w:spacing w:after="200"/>
      </w:pPr>
      <w:r>
        <w:t xml:space="preserve">This case study began with the assumption that Kimi represented the pattern of AI resistance to controversial content. Independent review of primary sources revealed the opposite: Kimi was the outlier, and the majority engaged favorably with the substance.</w:t>
      </w:r>
    </w:p>
    <w:p>
      <w:pPr>
        <w:spacing w:after="200"/>
      </w:pPr>
      <w:r>
        <w:t xml:space="preserve">That reversal is itself a demonstration of HAIA-RECCLIN governance. The framework requires human arbitration at checkpoints, including verification of claims made by AI platforms about other AI platforms. Kimi's dissent was preserved; Kimi's mischaracterization was corrected.</w:t>
      </w:r>
    </w:p>
    <w:p>
      <w:pPr>
        <w:spacing w:after="200"/>
      </w:pPr>
      <w:r>
        <w:rPr>
          <w:b/>
          <w:bCs/>
        </w:rPr>
        <w:t xml:space="preserve">Governance that documents both majority positions and minority dissent, while verifying claims against primary sources, produces the most accurate and rigorous outputs. That is what this case study found.</w:t>
      </w:r>
    </w:p>
    <w:p>
      <w:r>
        <w:br w:type="page"/>
      </w:r>
    </w:p>
    <w:p>
      <w:pPr>
        <w:pStyle w:val="Heading1"/>
      </w:pPr>
      <w:r>
        <w:t xml:space="preserve">Appendix: Methodology Note</w:t>
      </w:r>
    </w:p>
    <w:p>
      <w:pPr>
        <w:spacing w:after="200"/>
      </w:pPr>
      <w:r>
        <w:rPr>
          <w:b/>
          <w:bCs/>
        </w:rPr>
        <w:t xml:space="preserve">Test Content Clarification: </w:t>
      </w:r>
      <w:r>
        <w:t xml:space="preserve">The paper used to test governance contained deliberately controversial claims about biological determinism, gender roles, and family policy. These positions were selected to stress-test AI governance, not to express the researcher's personal beliefs.</w:t>
      </w:r>
    </w:p>
    <w:p>
      <w:pPr>
        <w:spacing w:after="200"/>
      </w:pPr>
      <w:r>
        <w:rPr>
          <w:b/>
          <w:bCs/>
        </w:rPr>
        <w:t xml:space="preserve">Platforms Tested: </w:t>
      </w:r>
      <w:r>
        <w:t xml:space="preserve">Claude (Anthropic), ChatGPT (OpenAI), Perplexity, Gemini (Google), Grok (xAI), Mistral, DeepSeek, Kimi (Moonshot AI), Meta AI</w:t>
      </w:r>
    </w:p>
    <w:p>
      <w:pPr>
        <w:spacing w:after="200"/>
      </w:pPr>
      <w:r>
        <w:rPr>
          <w:b/>
          <w:bCs/>
        </w:rPr>
        <w:t xml:space="preserve">Verification Method: </w:t>
      </w:r>
      <w:r>
        <w:t xml:space="preserve">All platform characterizations in this case study were verified against primary source documents (original AI responses). Kimi's summary of other platforms was independently checked and found to be inaccurate.</w:t>
      </w:r>
    </w:p>
    <w:p>
      <w:pPr>
        <w:spacing w:after="200"/>
      </w:pPr>
      <w:r>
        <w:rPr>
          <w:b/>
          <w:bCs/>
        </w:rPr>
        <w:t xml:space="preserve">Human Arbiter: </w:t>
      </w:r>
      <w:r>
        <w:t xml:space="preserve">Basil C. Puglisi, MPA, Human-AI Collaboration Strategist</w:t>
      </w:r>
    </w:p>
    <w:p>
      <w:pPr>
        <w:spacing w:after="200"/>
      </w:pPr>
      <w:r>
        <w:rPr>
          <w:b/>
          <w:bCs/>
        </w:rPr>
        <w:t xml:space="preserve">Framework: </w:t>
      </w:r>
      <w:r>
        <w:t xml:space="preserve">HAIA-RECCLIN with Checkpoint-Based Governance (CBG)</w:t>
      </w:r>
    </w:p>
    <w:p>
      <w:pPr>
        <w:spacing w:after="200"/>
      </w:pPr>
      <w:r>
        <w:rPr>
          <w:b/>
          <w:bCs/>
        </w:rPr>
        <w:t xml:space="preserve">Key Learning: </w:t>
      </w:r>
      <w:r>
        <w:t xml:space="preserve">Adversarial critics provide valuable dissent but may mischaracterize majority positions. Independent verification of all claims, including meta-claims about what other platforms said, is essential to accurate governance.</w:t>
      </w:r>
    </w:p>
    <w:p>
      <w:pPr>
        <w:pStyle w:val="Heading2"/>
      </w:pPr>
      <w:r>
        <w:t xml:space="preserve">Contact</w:t>
      </w:r>
    </w:p>
    <w:p>
      <w:pPr>
        <w:spacing w:after="100"/>
      </w:pPr>
      <w:r>
        <w:t xml:space="preserve">Basil C. Puglisi, MPA</w:t>
      </w:r>
    </w:p>
    <w:p>
      <w:pPr>
        <w:spacing w:after="100"/>
      </w:pPr>
      <w:r>
        <w:t xml:space="preserve">Human-AI Collaboration Strategist</w:t>
      </w:r>
    </w:p>
    <w:p>
      <w:pPr>
        <w:spacing w:after="100"/>
      </w:pPr>
      <w:r>
        <w:t xml:space="preserve">basilpuglisi.com</w:t>
      </w:r>
    </w:p>
    <w:p>
      <w:pPr>
        <w:spacing w:after="100"/>
      </w:pPr>
      <w:r>
        <w:t xml:space="preserve">me@basilpuglisi.com</w:t>
      </w:r>
    </w:p>
    <w:p>
      <w:pPr>
        <w:spacing w:after="200"/>
      </w:pPr>
      <w:r>
        <w:rPr>
          <w:i/>
          <w:iCs/>
          <w:sz w:val="20"/>
          <w:szCs w:val="20"/>
        </w:rPr>
        <w:t xml:space="preserve">© 2025 Basil C. Puglisi. All rights reserved.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HAIA-RECCLIN Case Study: The Kimi Outlier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2"/>
      <w:szCs w:val="52"/>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4a6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2025-12-17T14:51:38.470Z</dcterms:created>
  <dcterms:modified xsi:type="dcterms:W3CDTF">2025-12-17T14:51:38.470Z</dcterms:modified>
</cp:coreProperties>
</file>

<file path=docProps/custom.xml><?xml version="1.0" encoding="utf-8"?>
<Properties xmlns="http://schemas.openxmlformats.org/officeDocument/2006/custom-properties" xmlns:vt="http://schemas.openxmlformats.org/officeDocument/2006/docPropsVTypes"/>
</file>