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HAIA-SMART v1.5 Calibration Draft</w:t>
      </w:r>
    </w:p>
    <w:p>
      <w:r>
        <w:t>(Operational Edition — November 2025)</w:t>
      </w:r>
    </w:p>
    <w:p>
      <w:pPr>
        <w:pStyle w:val="Heading2"/>
      </w:pPr>
      <w:r>
        <w:t>Purpose of Revision</w:t>
      </w:r>
    </w:p>
    <w:p>
      <w:r>
        <w:t>Version 1.5 aligns multi-AI evaluation logic under HAIA-RECCLIN governance. It resolves interpretive divergence identified during cross-AI scoring of the LinkedIn 360Brew case and introduces dual optimization pathways: Algorithmic and Organic. The framework remains human-led and transparency-first. AI modules assist with measurement; human judgment determines final publication readiness.</w:t>
      </w:r>
    </w:p>
    <w:p>
      <w:pPr>
        <w:pStyle w:val="Heading2"/>
      </w:pPr>
      <w:r>
        <w:t>Section 1 – Philosophy</w:t>
      </w:r>
    </w:p>
    <w:p>
      <w:r>
        <w:t>HAIA-SMART exists to ensure communication remains human, credible, and trustworthy within algorithmic visibility systems. Every score must reinforce three constants:</w:t>
        <w:br/>
        <w:t>1. Human intent before algorithmic compliance</w:t>
        <w:br/>
        <w:t>2. Authentic clarity before polish</w:t>
        <w:br/>
        <w:t>3. Relational trust before reach</w:t>
        <w:br/>
        <w:br/>
        <w:t>The v1.5 update confirms that both algorithmic signals and organic resonance are valid performance indicators, provided the author’s integrity and accountability remain intact.</w:t>
      </w:r>
    </w:p>
    <w:p>
      <w:pPr>
        <w:pStyle w:val="Heading2"/>
      </w:pPr>
      <w:r>
        <w:t>Section 2 – Pillar Clarifications</w:t>
      </w:r>
    </w:p>
    <w:p>
      <w:r>
        <w:t>1. Hook Quality – Measures clarity, relevance, and emotional precision of the opening.</w:t>
        <w:br/>
        <w:t xml:space="preserve">   • 5 = Immediate, specific, and consequential.</w:t>
        <w:br/>
        <w:t xml:space="preserve">   • 3–4 = Clear but lacks shared tension.</w:t>
        <w:br/>
        <w:t xml:space="preserve">   • 1–2 = Generic or disconnected.</w:t>
        <w:br/>
        <w:br/>
        <w:t>2. Relational Coherence – Evaluates tonal consistency and psychological safety.</w:t>
        <w:br/>
        <w:t xml:space="preserve">   • Cultural Context Rule: Enterprise = tone caution, Startup = neutral, Thought Leadership = can enhance.</w:t>
        <w:br/>
        <w:br/>
        <w:t>3. Perceived Outperformance – Assesses demonstration of lived expertise or proprietary insight.</w:t>
        <w:br/>
        <w:t xml:space="preserve">   • 5 = Distinct method or data. 3–4 = Competent narrative. 1–2 = Generic observation.</w:t>
        <w:br/>
        <w:br/>
        <w:t>4. Call-to-Action Strength – Clarified: explicit invitations score 4–5, rhetorical 2–3; both valid when justified.</w:t>
        <w:br/>
        <w:br/>
        <w:t>5. Semantic Integrity – Confirms consistency between declared expertise and language used.</w:t>
        <w:br/>
        <w:br/>
        <w:t>6. Predicted Engagement Authenticity – Predicts engagement depth using structural and emotional indicators.</w:t>
        <w:br/>
        <w:t xml:space="preserve">   • 1–2 = Agreement-only reactions.</w:t>
        <w:br/>
        <w:t xml:space="preserve">   • 3 = Mixed comments.</w:t>
        <w:br/>
        <w:t xml:space="preserve">   • 4–5 = Dialogue or constructive discussion likely.</w:t>
      </w:r>
    </w:p>
    <w:p>
      <w:pPr>
        <w:pStyle w:val="Heading2"/>
      </w:pPr>
      <w:r>
        <w:t>Section 3 – Dual Optimization Paths</w:t>
      </w:r>
    </w:p>
    <w:p>
      <w:r>
        <w:t>Path A – Algorithmic Optimization: For environments dependent on platform discovery. Focus on explicit CTAs, data, and sentiment-safe phrasing.</w:t>
        <w:br/>
        <w:br/>
        <w:t>Path B – Organic Resonance: For environments where audience trust and authenticity drive reach. Focus on tone, authenticity, and narrative rhythm.</w:t>
        <w:br/>
        <w:br/>
        <w:t>Evaluators must declare the chosen path at the start of assessment. Mixed-path scoring is permitted with justification.</w:t>
      </w:r>
    </w:p>
    <w:p>
      <w:pPr>
        <w:pStyle w:val="Heading2"/>
      </w:pPr>
      <w:r>
        <w:t>Section 4 – Factics Verification Update</w:t>
      </w:r>
    </w:p>
    <w:p>
      <w:r>
        <w:t>Factics remains the validation lens: Reality Observed → Human Response → Measurable Intent → Ethos Proof.</w:t>
        <w:br/>
        <w:br/>
        <w:t>v1.5 standardizes notation:</w:t>
        <w:br/>
        <w:t>• Reality Observed = Verifiable data or contextual change.</w:t>
        <w:br/>
        <w:t>• Human Response = Tactic or adaptive behavior.</w:t>
        <w:br/>
        <w:t>• Measurable Intent = Outcome or KPI.</w:t>
        <w:br/>
        <w:t>• Ethos Proof = Integrity marker confirming human accountability.</w:t>
        <w:br/>
        <w:br/>
        <w:t>All four required for completeness ≥ 80%.</w:t>
      </w:r>
    </w:p>
    <w:p>
      <w:pPr>
        <w:pStyle w:val="Heading2"/>
      </w:pPr>
      <w:r>
        <w:t>Section 5 – Governance Integration</w:t>
      </w:r>
    </w:p>
    <w:p>
      <w:r>
        <w:t>HAIA-SMART v1.5 operates under HAIA-RECCLIN oversight. Each evaluation must record:</w:t>
        <w:br/>
        <w:t>• Role executing (Navigator, Editor, Researcher, etc.)</w:t>
        <w:br/>
        <w:t>• Chosen optimization path (A or B)</w:t>
        <w:br/>
        <w:t>• Human Arbiter decision (Pass / Revise / Retain for dissent)</w:t>
        <w:br/>
        <w:br/>
        <w:t>This maintains transparency and distributed accountability.</w:t>
      </w:r>
    </w:p>
    <w:p>
      <w:pPr>
        <w:pStyle w:val="Heading2"/>
      </w:pPr>
      <w:r>
        <w:t>Section 6 – Summary of Changes</w:t>
      </w:r>
    </w:p>
    <w:p>
      <w:r>
        <w:t>• CTA: Clarified explicit vs. rhetorical scoring.</w:t>
        <w:br/>
        <w:t>• Engagement: Expanded to structural + emotional prediction.</w:t>
        <w:br/>
        <w:t>• Relational: Cultural context added.</w:t>
        <w:br/>
        <w:t>• Optimization: Dual paths introduced.</w:t>
        <w:br/>
        <w:t>• Governance: Mandatory role declaration implemented.</w:t>
      </w:r>
    </w:p>
    <w:p>
      <w:pPr>
        <w:pStyle w:val="Heading2"/>
      </w:pPr>
      <w:r>
        <w:t>Section 7 – Forward Application</w:t>
      </w:r>
    </w:p>
    <w:p>
      <w:r>
        <w:t>All future audits, LinkedIn, Medium, or platform evaluations must note v1.5 path selection. Consensus scoring (≥24/30) continues to define publication readiness, but dissent is logged as governance data.</w:t>
        <w:br/>
        <w:br/>
        <w:t>Closing Principle: HAIA-SMART v1.5 transforms disagreement into data. Divergent evaluations are not failures—they are evidence that human oversight is functioning.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