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72A0" w:rsidRDefault="003472A0">
      <w:pPr>
        <w:spacing w:after="80"/>
      </w:pPr>
    </w:p>
    <w:p w:rsidR="003472A0" w:rsidRDefault="003472A0">
      <w:pPr>
        <w:spacing w:after="80"/>
      </w:pPr>
    </w:p>
    <w:p w:rsidR="003472A0" w:rsidRDefault="003472A0">
      <w:pPr>
        <w:spacing w:after="80"/>
      </w:pPr>
    </w:p>
    <w:p w:rsidR="003472A0" w:rsidRDefault="003472A0">
      <w:pPr>
        <w:spacing w:after="80"/>
      </w:pPr>
    </w:p>
    <w:p w:rsidR="003472A0" w:rsidRDefault="003472A0">
      <w:pPr>
        <w:spacing w:after="80"/>
      </w:pPr>
    </w:p>
    <w:p w:rsidR="003472A0" w:rsidRDefault="003472A0">
      <w:pPr>
        <w:spacing w:after="80"/>
      </w:pPr>
    </w:p>
    <w:p w:rsidR="003472A0" w:rsidRDefault="003472A0">
      <w:pPr>
        <w:spacing w:after="80"/>
      </w:pPr>
    </w:p>
    <w:p w:rsidR="003472A0" w:rsidRDefault="003472A0">
      <w:pPr>
        <w:spacing w:after="80"/>
      </w:pPr>
    </w:p>
    <w:p w:rsidR="003472A0" w:rsidRDefault="00CC3482">
      <w:pPr>
        <w:spacing w:after="200"/>
        <w:jc w:val="center"/>
      </w:pPr>
      <w:r>
        <w:rPr>
          <w:b/>
          <w:bCs/>
          <w:color w:val="1B3A5C"/>
          <w:sz w:val="56"/>
          <w:szCs w:val="56"/>
        </w:rPr>
        <w:t>HAIA-RECCLIN</w:t>
      </w:r>
    </w:p>
    <w:p w:rsidR="003472A0" w:rsidRDefault="00CC3482">
      <w:pPr>
        <w:spacing w:after="120"/>
        <w:jc w:val="center"/>
      </w:pPr>
      <w:r>
        <w:rPr>
          <w:color w:val="2C5F8A"/>
          <w:sz w:val="40"/>
          <w:szCs w:val="40"/>
        </w:rPr>
        <w:t>Agent Architecture Specification</w:t>
      </w:r>
    </w:p>
    <w:p w:rsidR="00055326" w:rsidRPr="00055326" w:rsidRDefault="00055326" w:rsidP="00055326">
      <w:pPr>
        <w:spacing w:after="80"/>
        <w:jc w:val="center"/>
        <w:rPr>
          <w:i/>
          <w:iCs/>
          <w:color w:val="666666"/>
          <w:sz w:val="28"/>
          <w:szCs w:val="28"/>
        </w:rPr>
      </w:pPr>
      <w:r>
        <w:rPr>
          <w:i/>
          <w:iCs/>
          <w:color w:val="666666"/>
          <w:sz w:val="28"/>
          <w:szCs w:val="28"/>
        </w:rPr>
        <w:t>Autonomous Agen</w:t>
      </w:r>
      <w:bookmarkStart w:id="0" w:name="_GoBack"/>
      <w:bookmarkEnd w:id="0"/>
      <w:r>
        <w:rPr>
          <w:i/>
          <w:iCs/>
          <w:color w:val="666666"/>
          <w:sz w:val="28"/>
          <w:szCs w:val="28"/>
        </w:rPr>
        <w:t>t for Audit-Grade Multi-AI Collaboration</w:t>
      </w:r>
    </w:p>
    <w:p w:rsidR="003472A0" w:rsidRDefault="00CC3482">
      <w:pPr>
        <w:spacing w:after="80"/>
        <w:jc w:val="center"/>
      </w:pPr>
      <w:r>
        <w:rPr>
          <w:b/>
          <w:bCs/>
          <w:i/>
          <w:iCs/>
          <w:color w:val="1B3A5C"/>
          <w:sz w:val="24"/>
          <w:szCs w:val="24"/>
        </w:rPr>
        <w:t>EU Compliance Version</w:t>
      </w:r>
    </w:p>
    <w:p w:rsidR="003472A0" w:rsidRDefault="003472A0">
      <w:pPr>
        <w:spacing w:after="80"/>
      </w:pPr>
    </w:p>
    <w:p w:rsidR="003472A0" w:rsidRDefault="003472A0">
      <w:pPr>
        <w:spacing w:after="80"/>
      </w:pPr>
    </w:p>
    <w:p w:rsidR="003472A0" w:rsidRDefault="00CC3482">
      <w:pPr>
        <w:spacing w:after="80"/>
        <w:jc w:val="center"/>
      </w:pPr>
      <w:r>
        <w:t>Version 2.2 — EU Compliance Version</w:t>
      </w:r>
    </w:p>
    <w:p w:rsidR="003472A0" w:rsidRDefault="00CC3482">
      <w:pPr>
        <w:spacing w:after="80"/>
        <w:jc w:val="center"/>
      </w:pPr>
      <w:r>
        <w:t>February 2026</w:t>
      </w:r>
    </w:p>
    <w:p w:rsidR="003472A0" w:rsidRDefault="003472A0">
      <w:pPr>
        <w:spacing w:after="80"/>
      </w:pPr>
    </w:p>
    <w:p w:rsidR="003472A0" w:rsidRDefault="003472A0">
      <w:pPr>
        <w:spacing w:after="80"/>
      </w:pPr>
    </w:p>
    <w:p w:rsidR="003472A0" w:rsidRDefault="003472A0">
      <w:pPr>
        <w:spacing w:after="80"/>
      </w:pPr>
    </w:p>
    <w:p w:rsidR="003472A0" w:rsidRDefault="00CC3482">
      <w:pPr>
        <w:spacing w:after="80"/>
        <w:jc w:val="center"/>
      </w:pPr>
      <w:r>
        <w:rPr>
          <w:b/>
          <w:bCs/>
          <w:color w:val="1B3A5C"/>
          <w:sz w:val="26"/>
          <w:szCs w:val="26"/>
        </w:rPr>
        <w:t>Basil Puglisi</w:t>
      </w:r>
    </w:p>
    <w:p w:rsidR="003472A0" w:rsidRDefault="00CC3482">
      <w:pPr>
        <w:spacing w:after="80"/>
        <w:jc w:val="center"/>
      </w:pPr>
      <w:r>
        <w:rPr>
          <w:color w:val="666666"/>
          <w:sz w:val="22"/>
          <w:szCs w:val="22"/>
        </w:rPr>
        <w:t>Human-AI Collaboration Strategist</w:t>
      </w:r>
    </w:p>
    <w:p w:rsidR="003472A0" w:rsidRDefault="00CC3482">
      <w:pPr>
        <w:spacing w:after="80"/>
        <w:jc w:val="center"/>
      </w:pPr>
      <w:r>
        <w:rPr>
          <w:color w:val="666666"/>
          <w:sz w:val="22"/>
          <w:szCs w:val="22"/>
        </w:rPr>
        <w:t>basilpuglisi.com</w:t>
      </w:r>
    </w:p>
    <w:p w:rsidR="003472A0" w:rsidRDefault="003472A0">
      <w:pPr>
        <w:spacing w:after="80"/>
      </w:pPr>
    </w:p>
    <w:p w:rsidR="003472A0" w:rsidRDefault="003472A0">
      <w:pPr>
        <w:spacing w:after="80"/>
      </w:pPr>
    </w:p>
    <w:p w:rsidR="003472A0" w:rsidRDefault="003472A0">
      <w:pPr>
        <w:spacing w:after="80"/>
      </w:pPr>
    </w:p>
    <w:p w:rsidR="003472A0" w:rsidRDefault="003472A0">
      <w:pPr>
        <w:spacing w:after="80"/>
      </w:pPr>
    </w:p>
    <w:p w:rsidR="003472A0" w:rsidRDefault="00CC3482">
      <w:pPr>
        <w:jc w:val="center"/>
      </w:pPr>
      <w:r>
        <w:rPr>
          <w:i/>
          <w:iCs/>
          <w:color w:val="888888"/>
          <w:sz w:val="20"/>
          <w:szCs w:val="20"/>
        </w:rPr>
        <w:t>This document serves as the technical specification for agent development and the core architectural component of a governance documentation package designed to work toward compliance with the EU AI Act, ISO/IEC 42001 (AI Management Systems), ISO/IEC 27001 (Information Security Management), NIST AI Risk Management Framework, NIST Cybersecurity Framework, and applicable sector-specific regulatory requirements including DORA and NYDFS 23 NYCRR 500.</w:t>
      </w:r>
    </w:p>
    <w:p w:rsidR="003472A0" w:rsidRDefault="003472A0">
      <w:pPr>
        <w:sectPr w:rsidR="003472A0">
          <w:headerReference w:type="default" r:id="rId8"/>
          <w:pgSz w:w="12240" w:h="15840"/>
          <w:pgMar w:top="1440" w:right="1440" w:bottom="1440" w:left="1440" w:header="708" w:footer="708" w:gutter="0"/>
          <w:cols w:space="720"/>
          <w:docGrid w:linePitch="360"/>
        </w:sectPr>
      </w:pPr>
    </w:p>
    <w:p w:rsidR="003472A0" w:rsidRDefault="00CC3482">
      <w:pPr>
        <w:pStyle w:val="Heading1"/>
        <w:keepNext/>
        <w:keepLines/>
      </w:pPr>
      <w:bookmarkStart w:id="1" w:name="_Toc220973585"/>
      <w:r>
        <w:lastRenderedPageBreak/>
        <w:t>Document Control</w:t>
      </w:r>
      <w:bookmarkEnd w:id="1"/>
    </w:p>
    <w:tbl>
      <w:tblPr>
        <w:tblW w:w="5000" w:type="pc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00"/>
      </w:tblGrid>
      <w:tr w:rsidR="003472A0">
        <w:tblPrEx>
          <w:tblCellMar>
            <w:top w:w="0" w:type="dxa"/>
            <w:bottom w:w="0" w:type="dxa"/>
          </w:tblCellMar>
        </w:tblPrEx>
        <w:trPr>
          <w:cantSplit/>
        </w:trPr>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b/>
                <w:bCs/>
                <w:sz w:val="20"/>
                <w:szCs w:val="20"/>
              </w:rPr>
              <w:t>Document Title</w:t>
            </w:r>
          </w:p>
        </w:tc>
        <w:tc>
          <w:tcPr>
            <w:tcW w:w="702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HAIA-RECCLIN Agent Architecture Specification — EU Compliance Version</w:t>
            </w:r>
          </w:p>
        </w:tc>
      </w:tr>
      <w:tr w:rsidR="003472A0">
        <w:tblPrEx>
          <w:tblCellMar>
            <w:top w:w="0" w:type="dxa"/>
            <w:bottom w:w="0" w:type="dxa"/>
          </w:tblCellMar>
        </w:tblPrEx>
        <w:trPr>
          <w:cantSplit/>
        </w:trPr>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b/>
                <w:bCs/>
                <w:sz w:val="20"/>
                <w:szCs w:val="20"/>
              </w:rPr>
              <w:t>Version</w:t>
            </w:r>
          </w:p>
        </w:tc>
        <w:tc>
          <w:tcPr>
            <w:tcW w:w="702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2.2-EU</w:t>
            </w:r>
          </w:p>
        </w:tc>
      </w:tr>
      <w:tr w:rsidR="003472A0">
        <w:tblPrEx>
          <w:tblCellMar>
            <w:top w:w="0" w:type="dxa"/>
            <w:bottom w:w="0" w:type="dxa"/>
          </w:tblCellMar>
        </w:tblPrEx>
        <w:trPr>
          <w:cantSplit/>
        </w:trPr>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b/>
                <w:bCs/>
                <w:sz w:val="20"/>
                <w:szCs w:val="20"/>
              </w:rPr>
              <w:t>Date</w:t>
            </w:r>
          </w:p>
        </w:tc>
        <w:tc>
          <w:tcPr>
            <w:tcW w:w="702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February 4, 2026</w:t>
            </w:r>
          </w:p>
        </w:tc>
      </w:tr>
      <w:tr w:rsidR="003472A0">
        <w:tblPrEx>
          <w:tblCellMar>
            <w:top w:w="0" w:type="dxa"/>
            <w:bottom w:w="0" w:type="dxa"/>
          </w:tblCellMar>
        </w:tblPrEx>
        <w:trPr>
          <w:cantSplit/>
        </w:trPr>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b/>
                <w:bCs/>
                <w:sz w:val="20"/>
                <w:szCs w:val="20"/>
              </w:rPr>
              <w:t>Author</w:t>
            </w:r>
          </w:p>
        </w:tc>
        <w:tc>
          <w:tcPr>
            <w:tcW w:w="702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Basil Puglisi</w:t>
            </w:r>
          </w:p>
        </w:tc>
      </w:tr>
      <w:tr w:rsidR="003472A0">
        <w:tblPrEx>
          <w:tblCellMar>
            <w:top w:w="0" w:type="dxa"/>
            <w:bottom w:w="0" w:type="dxa"/>
          </w:tblCellMar>
        </w:tblPrEx>
        <w:trPr>
          <w:cantSplit/>
        </w:trPr>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b/>
                <w:bCs/>
                <w:sz w:val="20"/>
                <w:szCs w:val="20"/>
              </w:rPr>
              <w:t>Classification</w:t>
            </w:r>
          </w:p>
        </w:tc>
        <w:tc>
          <w:tcPr>
            <w:tcW w:w="702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Publication Ready — EU Compliance Version</w:t>
            </w:r>
          </w:p>
        </w:tc>
      </w:tr>
      <w:tr w:rsidR="003472A0">
        <w:tblPrEx>
          <w:tblCellMar>
            <w:top w:w="0" w:type="dxa"/>
            <w:bottom w:w="0" w:type="dxa"/>
          </w:tblCellMar>
        </w:tblPrEx>
        <w:trPr>
          <w:cantSplit/>
        </w:trPr>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b/>
                <w:bCs/>
                <w:sz w:val="20"/>
                <w:szCs w:val="20"/>
              </w:rPr>
              <w:t>Dual Purpose</w:t>
            </w:r>
          </w:p>
        </w:tc>
        <w:tc>
          <w:tcPr>
            <w:tcW w:w="702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Technical agent specification and core architectural component of a governance documentation package working toward compliance with the EU AI Act, ISO/IEC 42001, ISO/IEC 27001, NIST AI RMF, NIST CSF, and applicable sector-specific frameworks</w:t>
            </w:r>
          </w:p>
        </w:tc>
      </w:tr>
    </w:tbl>
    <w:p w:rsidR="003472A0" w:rsidRDefault="003472A0">
      <w:pPr>
        <w:spacing w:after="80"/>
      </w:pPr>
    </w:p>
    <w:p w:rsidR="003472A0" w:rsidRDefault="003472A0"/>
    <w:p w:rsidR="003472A0" w:rsidRDefault="00CC3482">
      <w:pPr>
        <w:pStyle w:val="Heading1"/>
        <w:keepNext/>
        <w:keepLines/>
      </w:pPr>
      <w:r>
        <w:t>Compliance Scope and Disclosure</w:t>
      </w:r>
    </w:p>
    <w:p w:rsidR="003472A0" w:rsidRDefault="00CC3482">
      <w:pPr>
        <w:spacing w:after="160" w:line="276" w:lineRule="auto"/>
      </w:pPr>
      <w:r>
        <w:t>This specification describes a governance architecture designed, developed, and operationally validated in the United States. The HAIA-RECCLIN framework is not an AI system placed on the EU market. It is a governance methodology and agent architecture specification that organizations may deploy to govern AI operations, including operations subject to EU regulatory jurisdiction. The “EU Compliance Version” designation indicates that this revision has been systematically mapped against EU regulatory requirements and incorporates architectural controls, documentation infrastructure, and compliance pathways responsive to those requirements. It does not indicate that implementation of this specification alone constitutes regulatory compliance.</w:t>
      </w:r>
    </w:p>
    <w:p w:rsidR="003472A0" w:rsidRDefault="00CC3482">
      <w:pPr>
        <w:spacing w:after="160" w:line="276" w:lineRule="auto"/>
      </w:pPr>
      <w:r>
        <w:rPr>
          <w:b/>
          <w:bCs/>
        </w:rPr>
        <w:t xml:space="preserve">What This Specification Provides. </w:t>
      </w:r>
      <w:r>
        <w:t>Architectural controls that satisfy or support compliance with EU AI Act (Regulation (EU) 2024/1689) requirements for high-risk AI systems, including human oversight (Article 14), transparency and provision of information (Article 13), logging and traceability (Article 12), technical documentation per Annex IV, risk management system design (Article 9), accuracy, robustness, and cybersecurity (Article 15), and data governance (Article 10). GDPR (Regulation (EU) 2016/679) alignment architecture for personal data processed through AI workflows, including lawful basis documentation, data minimization gates, PII anonymization protocols, automated decision safeguards (Article 22), and data subject rights infrastructure. Structured audit trail that produces the evidentiary artifacts required for conformity assessment by a notified body, quality management system documentation per Article 17, and post-market monitoring records per Article 72. Responsibility delineation that explicitly assigns thirty compliance obligations across framework, deploying organization, and AI platform provider, following the shared responsibility model established in cloud computing governance.</w:t>
      </w:r>
    </w:p>
    <w:p w:rsidR="003472A0" w:rsidRDefault="00CC3482">
      <w:pPr>
        <w:spacing w:after="160" w:line="276" w:lineRule="auto"/>
      </w:pPr>
      <w:r>
        <w:rPr>
          <w:b/>
          <w:bCs/>
        </w:rPr>
        <w:t xml:space="preserve">What This Specification Does Not Provide. </w:t>
      </w:r>
      <w:r>
        <w:t>Conformity assessment itself. Under the EU AI Act as amended, conformity assessment for most high-risk AI systems follows Annex VI (internal control), a self-assessment procedure where the provider determines compliance without external regulatory sign-off. Notified body assessment under Article 31 applies only to specific categories including high-risk biometric identification. This specification generates the evidence required for such assessment but does not perform it. Quality management system (QMS) certification. Article 17 requires providers and deployers of high-risk AI systems to establish and maintain a QMS. The draft harmonised standard prEN 18286:2025 defines twelve core QMS elements for compliance. This specification supports six elements directly (documentation and record-keeping, risk management integration, testing and validation evidence, incident reporting evidence, technical specifications, and accountability framework infrastructure) but is not itself a QMS. The deploying organization must establish the remaining elements (regulatory compliance strategy, design and development controls, data management systems, post-market monitoring operations, communications framework, and resource management) as organizational governance. The EU AI Act’s shift to self-assessment under Annex VI (internal control) for most high-risk systems means the deploying organization bears full responsibility for determining compliance. No external authority validates the classification. This specification provides the evidentiary infrastructure for that self-assessment but does not perform it. Post-market monitoring system operation. Article 72 requires continuous monitoring of high-risk AI system performance after deployment. This specification’s audit trail architecture supports post-market monitoring data collection, but the monitoring plan, statistical analysis methodology, corrective action procedures, and reporting to market surveillance authorities are deploying organization responsibilities. Fundamental rights impact assessment (FRIA). Article 27 requires deployers of certain high-risk AI systems to conduct a fundamental rights impact assessment before deployment. This specification does not perform or template a FRIA. EU Declaration of Conformity. The declaration required under Article 47 must be signed by the provider or authorized representative. This specification provides the evidentiary basis but cannot execute the legal act of declaration. CE marking pathway. Where applicable under Article 48, CE marking requires completion of the conformity assessment procedure. This specification supports but does not replace that procedure. Incident reporting to national competent authorities. Article 73 requires providers and deployers to report serious incidents. This specification’s audit trail provides the incident reconstruction evidence, but the reporting protocol, timeline compliance, and authority communication are organizational responsibilities. General-purpose AI model obligations. Chapter V of the EU AI Act addresses obligations for providers of general-purpose AI (GPAI) models. HAIA-RECCLIN does not train, fine-tune, or distribute GPAI models. It queries existing commercial platforms. GPAI provider obligations (Article 53) fall entirely on the platform vendors.</w:t>
      </w:r>
    </w:p>
    <w:p w:rsidR="003472A0" w:rsidRDefault="00CC3482">
      <w:pPr>
        <w:spacing w:after="160" w:line="276" w:lineRule="auto"/>
      </w:pPr>
      <w:r>
        <w:rPr>
          <w:b/>
          <w:bCs/>
        </w:rPr>
        <w:t xml:space="preserve">Compliance Status Categories. </w:t>
      </w:r>
      <w:r>
        <w:t>Throughout this specification, compliance items are classified using three status levels. “Satisfied” means the architectural control directly fulfills the regulatory requirement without additional organizational action beyond implementation. “Supported” means the specification provides infrastructure, documentation templates, or procedural gates that enable compliance, but the deploying organization must complete the obligation through policy, legal determination, or operational procedure. “Compensating” means the specification provides the strongest available mitigation where direct compliance is architecturally impossible (for example, training data governance for models the framework does not train). These categories replace the binary “Complete” and “Partial” labels used in v1.6.</w:t>
      </w:r>
    </w:p>
    <w:p w:rsidR="003472A0" w:rsidRDefault="00CC3482">
      <w:pPr>
        <w:spacing w:after="160" w:line="276" w:lineRule="auto"/>
      </w:pPr>
      <w:r>
        <w:rPr>
          <w:b/>
          <w:bCs/>
        </w:rPr>
        <w:t xml:space="preserve">Regulatory Scope. </w:t>
      </w:r>
      <w:r>
        <w:t>This specification addresses requirements from: EU AI Act (Regulation (EU) 2024/1689), with particular attention to Title III (High-Risk AI Systems), Chapter 2 (Requirements for High-Risk AI Systems), Chapter 3 (Obligations of Providers and Deployers of High-Risk AI Systems), and Annex III (High-Risk AI System Areas) and Annex IV (Technical Documentation Referred to in Article 11(1)). General Data Protection Regulation (Regulation (EU) 2016/679), with particular attention to Articles 5, 6, 7, 13, 14, 15, 17, 20, 22, 25, and 32. ISO/IEC 42001:2023 (Artificial Intelligence Management System). ISO/IEC 27001:2022 (Information Security Management). NIST AI Risk Management Framework (AI RMF 1.0). NIST Cybersecurity Framework (CSF 2.0). Sector-specific frameworks (DORA Regulation (EU) 2022/2554, NYDFS 23 NYCRR 500) are addressed at the mapping level in Appendix C. prEN 18286:2025, the draft harmonised standard for EU AI Act Article 17 (Quality Management System), is referenced as the target QMS standard. Once published in the Official Journal, prEN 18286 provides presumption of conformity with Article 17. This specification’s audit trail architecture, documentation infrastructure, risk management integration, and record-keeping capabilities support six of prEN 18286’s twelve core QMS elements; the remaining six require organizational governance beyond architectural controls. The Digital Omnibus Simplification Package proposed by the European Commission in February 2025 extended high-risk AI system enforcement to December 2027. Article 17 (QMS) and core requirements enforcement remains August 2, 2026. This window is strategic, not a basis for delayed preparation. Organizations should monitor Commission implementing acts, delegated acts, and harmonised standards published in the Official Journal of the European Union for updates to common specifications and conformity assessment procedures.</w:t>
      </w:r>
    </w:p>
    <w:p w:rsidR="003472A0" w:rsidRDefault="00CC3482">
      <w:pPr>
        <w:spacing w:after="160" w:line="276" w:lineRule="auto"/>
      </w:pPr>
      <w:r>
        <w:rPr>
          <w:i/>
          <w:iCs/>
        </w:rPr>
        <w:t>This disclosure is provided in the spirit of epistemic honesty that governs the entire specification. The framework makes strong compliance claims where the architecture warrants them and draws explicit boundaries where it does not. No governance architecture, regardless of sophistication, substitutes for organizational commitment to the regulatory obligations it enables.</w:t>
      </w:r>
    </w:p>
    <w:p w:rsidR="003472A0" w:rsidRDefault="00CC3482">
      <w:pPr>
        <w:pStyle w:val="Heading1"/>
        <w:keepNext/>
        <w:keepLines/>
      </w:pPr>
      <w:bookmarkStart w:id="2" w:name="_Toc220973586"/>
      <w:r>
        <w:t>Table of Contents</w:t>
      </w:r>
      <w:bookmarkEnd w:id="2"/>
    </w:p>
    <w:sdt>
      <w:sdtPr>
        <w:alias w:val="Table of Contents"/>
        <w:id w:val="700670646"/>
      </w:sdtPr>
      <w:sdtEndPr/>
      <w:sdtContent>
        <w:p w:rsidR="0042093D" w:rsidRDefault="00CC3482">
          <w:pPr>
            <w:pStyle w:val="TOC1"/>
            <w:tabs>
              <w:tab w:val="right" w:leader="dot" w:pos="9350"/>
            </w:tabs>
            <w:rPr>
              <w:noProof/>
            </w:rPr>
          </w:pPr>
          <w:r>
            <w:fldChar w:fldCharType="begin"/>
            <w:instrText>TOC \h \o "1-3"</w:instrText>
            <w:fldChar w:fldCharType="separate"/>
          </w:r>
          <w:hyperlink w:anchor="_Toc220973585" w:history="1">
            <w:r>
              <w:rPr>
                <w:rStyle w:val="Hyperlink"/>
                <w:noProof/>
              </w:rPr>
              <w:t>Document Control</w:t>
            </w:r>
            <w:r>
              <w:rPr>
                <w:noProof/>
              </w:rPr>
              <w:tab/>
              <w:fldChar w:fldCharType="begin"/>
              <w:instrText xml:space="preserve"> PAGEREF _Toc220973585 \h </w:instrText>
              <w:fldChar w:fldCharType="separate"/>
              <w:t>2</w:t>
              <w:fldChar w:fldCharType="end"/>
            </w:r>
          </w:hyperlink>
        </w:p>
        <w:p w:rsidR="0042093D" w:rsidRDefault="0042093D">
          <w:pPr>
            <w:pStyle w:val="TOC1"/>
            <w:tabs>
              <w:tab w:val="right" w:leader="dot" w:pos="9350"/>
            </w:tabs>
            <w:rPr>
              <w:noProof/>
            </w:rPr>
          </w:pPr>
          <w:hyperlink w:anchor="_Toc220973586" w:history="1">
            <w:r>
              <w:rPr>
                <w:rStyle w:val="Hyperlink"/>
                <w:noProof/>
              </w:rPr>
              <w:t>Table of Contents</w:t>
            </w:r>
            <w:r>
              <w:rPr>
                <w:noProof/>
              </w:rPr>
              <w:tab/>
              <w:fldChar w:fldCharType="begin"/>
              <w:instrText xml:space="preserve"> PAGEREF _Toc220973586 \h </w:instrText>
              <w:fldChar w:fldCharType="separate"/>
              <w:t>2</w:t>
              <w:fldChar w:fldCharType="end"/>
            </w:r>
          </w:hyperlink>
        </w:p>
        <w:p w:rsidR="0042093D" w:rsidRDefault="0042093D">
          <w:pPr>
            <w:pStyle w:val="TOC1"/>
            <w:tabs>
              <w:tab w:val="right" w:leader="dot" w:pos="9350"/>
            </w:tabs>
            <w:rPr>
              <w:noProof/>
            </w:rPr>
          </w:pPr>
          <w:hyperlink w:anchor="_Toc220973587" w:history="1">
            <w:r>
              <w:rPr>
                <w:rStyle w:val="Hyperlink"/>
                <w:noProof/>
              </w:rPr>
              <w:t>Executive Summary</w:t>
            </w:r>
            <w:r>
              <w:rPr>
                <w:noProof/>
              </w:rPr>
              <w:tab/>
              <w:fldChar w:fldCharType="begin"/>
              <w:instrText xml:space="preserve"> PAGEREF _Toc220973587 \h </w:instrText>
              <w:fldChar w:fldCharType="separate"/>
              <w:t>4</w:t>
              <w:fldChar w:fldCharType="end"/>
            </w:r>
          </w:hyperlink>
        </w:p>
        <w:p w:rsidR="0042093D" w:rsidRDefault="0042093D">
          <w:pPr>
            <w:pStyle w:val="TOC1"/>
            <w:tabs>
              <w:tab w:val="right" w:leader="dot" w:pos="9350"/>
            </w:tabs>
            <w:rPr>
              <w:noProof/>
            </w:rPr>
          </w:pPr>
          <w:hyperlink w:anchor="_Toc220973588" w:history="1">
            <w:r>
              <w:rPr>
                <w:rStyle w:val="Hyperlink"/>
                <w:noProof/>
              </w:rPr>
              <w:t>1. System Architecture Overview</w:t>
            </w:r>
            <w:r>
              <w:rPr>
                <w:noProof/>
              </w:rPr>
              <w:tab/>
              <w:fldChar w:fldCharType="begin"/>
              <w:instrText xml:space="preserve"> PAGEREF _Toc220973588 \h </w:instrText>
              <w:fldChar w:fldCharType="separate"/>
              <w:t>6</w:t>
              <w:fldChar w:fldCharType="end"/>
            </w:r>
          </w:hyperlink>
        </w:p>
        <w:p w:rsidR="0042093D" w:rsidRDefault="0042093D">
          <w:pPr>
            <w:pStyle w:val="TOC2"/>
            <w:tabs>
              <w:tab w:val="right" w:leader="dot" w:pos="9350"/>
            </w:tabs>
            <w:rPr>
              <w:noProof/>
            </w:rPr>
          </w:pPr>
          <w:hyperlink w:anchor="_Toc220973589" w:history="1">
            <w:r>
              <w:rPr>
                <w:rStyle w:val="Hyperlink"/>
                <w:noProof/>
              </w:rPr>
              <w:t>1.1 Two-Layer Model</w:t>
            </w:r>
            <w:r>
              <w:rPr>
                <w:noProof/>
              </w:rPr>
              <w:tab/>
              <w:fldChar w:fldCharType="begin"/>
              <w:instrText xml:space="preserve"> PAGEREF _Toc220973589 \h </w:instrText>
              <w:fldChar w:fldCharType="separate"/>
              <w:t>6</w:t>
              <w:fldChar w:fldCharType="end"/>
            </w:r>
          </w:hyperlink>
        </w:p>
        <w:p w:rsidR="0042093D" w:rsidRDefault="0042093D">
          <w:pPr>
            <w:pStyle w:val="TOC2"/>
            <w:tabs>
              <w:tab w:val="right" w:leader="dot" w:pos="9350"/>
            </w:tabs>
            <w:rPr>
              <w:noProof/>
            </w:rPr>
          </w:pPr>
          <w:hyperlink w:anchor="_Toc220973590" w:history="1">
            <w:r>
              <w:rPr>
                <w:rStyle w:val="Hyperlink"/>
                <w:noProof/>
              </w:rPr>
              <w:t>1.2 Design Principle: Record-Keeping First</w:t>
            </w:r>
            <w:r>
              <w:rPr>
                <w:noProof/>
              </w:rPr>
              <w:tab/>
              <w:fldChar w:fldCharType="begin"/>
              <w:instrText xml:space="preserve"> PAGEREF _Toc220973590 \h </w:instrText>
              <w:fldChar w:fldCharType="separate"/>
              <w:t>7</w:t>
              <w:fldChar w:fldCharType="end"/>
            </w:r>
          </w:hyperlink>
        </w:p>
        <w:p w:rsidR="0042093D" w:rsidRDefault="0042093D">
          <w:pPr>
            <w:pStyle w:val="TOC2"/>
            <w:tabs>
              <w:tab w:val="right" w:leader="dot" w:pos="9350"/>
            </w:tabs>
            <w:rPr>
              <w:noProof/>
            </w:rPr>
          </w:pPr>
          <w:hyperlink w:anchor="_Toc220973591" w:history="1">
            <w:r>
              <w:rPr>
                <w:rStyle w:val="Hyperlink"/>
                <w:noProof/>
              </w:rPr>
              <w:t>1.3 Operational Proof of Concept</w:t>
            </w:r>
            <w:r>
              <w:rPr>
                <w:noProof/>
              </w:rPr>
              <w:tab/>
              <w:fldChar w:fldCharType="begin"/>
              <w:instrText xml:space="preserve"> PAGEREF _Toc220973591 \h </w:instrText>
              <w:fldChar w:fldCharType="separate"/>
              <w:t>7</w:t>
              <w:fldChar w:fldCharType="end"/>
            </w:r>
          </w:hyperlink>
        </w:p>
        <w:p w:rsidR="0042093D" w:rsidRDefault="0042093D">
          <w:pPr>
            <w:pStyle w:val="TOC1"/>
            <w:tabs>
              <w:tab w:val="right" w:leader="dot" w:pos="9350"/>
            </w:tabs>
            <w:rPr>
              <w:noProof/>
            </w:rPr>
          </w:pPr>
          <w:hyperlink w:anchor="_Toc220973592" w:history="1">
            <w:r>
              <w:rPr>
                <w:rStyle w:val="Hyperlink"/>
                <w:noProof/>
              </w:rPr>
              <w:t>2. Three HAIA Operating Models</w:t>
            </w:r>
            <w:r>
              <w:rPr>
                <w:noProof/>
              </w:rPr>
              <w:tab/>
              <w:fldChar w:fldCharType="begin"/>
              <w:instrText xml:space="preserve"> PAGEREF _Toc220973592 \h </w:instrText>
              <w:fldChar w:fldCharType="separate"/>
              <w:t>7</w:t>
              <w:fldChar w:fldCharType="end"/>
            </w:r>
          </w:hyperlink>
        </w:p>
        <w:p w:rsidR="0042093D" w:rsidRDefault="0042093D">
          <w:pPr>
            <w:pStyle w:val="TOC2"/>
            <w:tabs>
              <w:tab w:val="right" w:leader="dot" w:pos="9350"/>
            </w:tabs>
            <w:rPr>
              <w:noProof/>
            </w:rPr>
          </w:pPr>
          <w:hyperlink w:anchor="_Toc220973593" w:history="1">
            <w:r>
              <w:rPr>
                <w:rStyle w:val="Hyperlink"/>
                <w:noProof/>
              </w:rPr>
              <w:t>2.1 Model 1: Agent Responsible AI</w:t>
            </w:r>
            <w:r>
              <w:rPr>
                <w:noProof/>
              </w:rPr>
              <w:tab/>
              <w:fldChar w:fldCharType="begin"/>
              <w:instrText xml:space="preserve"> PAGEREF _Toc220973593 \h </w:instrText>
              <w:fldChar w:fldCharType="separate"/>
              <w:t>7</w:t>
              <w:fldChar w:fldCharType="end"/>
            </w:r>
          </w:hyperlink>
        </w:p>
        <w:p w:rsidR="0042093D" w:rsidRDefault="0042093D">
          <w:pPr>
            <w:pStyle w:val="TOC2"/>
            <w:tabs>
              <w:tab w:val="right" w:leader="dot" w:pos="9350"/>
            </w:tabs>
            <w:rPr>
              <w:noProof/>
            </w:rPr>
          </w:pPr>
          <w:hyperlink w:anchor="_Toc220973594" w:history="1">
            <w:r>
              <w:rPr>
                <w:rStyle w:val="Hyperlink"/>
                <w:noProof/>
              </w:rPr>
              <w:t>2.2 Model 2: Agent AI Governance</w:t>
            </w:r>
            <w:r>
              <w:rPr>
                <w:noProof/>
              </w:rPr>
              <w:tab/>
              <w:fldChar w:fldCharType="begin"/>
              <w:instrText xml:space="preserve"> PAGEREF _Toc220973594 \h </w:instrText>
              <w:fldChar w:fldCharType="separate"/>
              <w:t>8</w:t>
              <w:fldChar w:fldCharType="end"/>
            </w:r>
          </w:hyperlink>
        </w:p>
        <w:p w:rsidR="0042093D" w:rsidRDefault="0042093D">
          <w:pPr>
            <w:pStyle w:val="TOC2"/>
            <w:tabs>
              <w:tab w:val="right" w:leader="dot" w:pos="9350"/>
            </w:tabs>
            <w:rPr>
              <w:noProof/>
            </w:rPr>
          </w:pPr>
          <w:hyperlink w:anchor="_Toc220973595" w:history="1">
            <w:r>
              <w:rPr>
                <w:rStyle w:val="Hyperlink"/>
                <w:noProof/>
              </w:rPr>
              <w:t>2.3 Model 3: Manual Human AI Governance</w:t>
            </w:r>
            <w:r>
              <w:rPr>
                <w:noProof/>
              </w:rPr>
              <w:tab/>
              <w:fldChar w:fldCharType="begin"/>
              <w:instrText xml:space="preserve"> PAGEREF _Toc220973595 \h </w:instrText>
              <w:fldChar w:fldCharType="separate"/>
              <w:t>9</w:t>
              <w:fldChar w:fldCharType="end"/>
            </w:r>
          </w:hyperlink>
        </w:p>
        <w:p w:rsidR="0042093D" w:rsidRDefault="0042093D">
          <w:pPr>
            <w:pStyle w:val="TOC2"/>
            <w:tabs>
              <w:tab w:val="right" w:leader="dot" w:pos="9350"/>
            </w:tabs>
            <w:rPr>
              <w:noProof/>
            </w:rPr>
          </w:pPr>
          <w:hyperlink w:anchor="_Toc220973596" w:history="1">
            <w:r>
              <w:rPr>
                <w:rStyle w:val="Hyperlink"/>
                <w:noProof/>
              </w:rPr>
              <w:t>2.4 Role Selection as Governance Decision</w:t>
            </w:r>
            <w:r>
              <w:rPr>
                <w:noProof/>
              </w:rPr>
              <w:tab/>
              <w:fldChar w:fldCharType="begin"/>
              <w:instrText xml:space="preserve"> PAGEREF _Toc220973596 \h </w:instrText>
              <w:fldChar w:fldCharType="separate"/>
              <w:t>10</w:t>
              <w:fldChar w:fldCharType="end"/>
            </w:r>
          </w:hyperlink>
        </w:p>
        <w:p w:rsidR="0042093D" w:rsidRDefault="0042093D">
          <w:pPr>
            <w:pStyle w:val="TOC2"/>
            <w:tabs>
              <w:tab w:val="right" w:leader="dot" w:pos="9350"/>
            </w:tabs>
            <w:rPr>
              <w:noProof/>
            </w:rPr>
          </w:pPr>
          <w:hyperlink w:anchor="_Toc220973597" w:history="1">
            <w:r>
              <w:rPr>
                <w:rStyle w:val="Hyperlink"/>
                <w:noProof/>
              </w:rPr>
              <w:t>2.5 Operating Role Comparison</w:t>
            </w:r>
            <w:r>
              <w:rPr>
                <w:noProof/>
              </w:rPr>
              <w:tab/>
              <w:fldChar w:fldCharType="begin"/>
              <w:instrText xml:space="preserve"> PAGEREF _Toc220973597 \h </w:instrText>
              <w:fldChar w:fldCharType="separate"/>
              <w:t>10</w:t>
              <w:fldChar w:fldCharType="end"/>
            </w:r>
          </w:hyperlink>
        </w:p>
        <w:p w:rsidR="0042093D" w:rsidRDefault="0042093D">
          <w:pPr>
            <w:pStyle w:val="TOC1"/>
            <w:tabs>
              <w:tab w:val="right" w:leader="dot" w:pos="9350"/>
            </w:tabs>
            <w:rPr>
              <w:noProof/>
            </w:rPr>
          </w:pPr>
          <w:hyperlink w:anchor="_Toc220973598" w:history="1">
            <w:r>
              <w:rPr>
                <w:rStyle w:val="Hyperlink"/>
                <w:noProof/>
              </w:rPr>
              <w:t>3. RECCLIN Functional Roles</w:t>
            </w:r>
            <w:r>
              <w:rPr>
                <w:noProof/>
              </w:rPr>
              <w:tab/>
              <w:fldChar w:fldCharType="begin"/>
              <w:instrText xml:space="preserve"> PAGEREF _Toc220973598 \h </w:instrText>
              <w:fldChar w:fldCharType="separate"/>
              <w:t>10</w:t>
              <w:fldChar w:fldCharType="end"/>
            </w:r>
          </w:hyperlink>
        </w:p>
        <w:p w:rsidR="0042093D" w:rsidRDefault="0042093D">
          <w:pPr>
            <w:pStyle w:val="TOC2"/>
            <w:tabs>
              <w:tab w:val="right" w:leader="dot" w:pos="9350"/>
            </w:tabs>
            <w:rPr>
              <w:noProof/>
            </w:rPr>
          </w:pPr>
          <w:hyperlink w:anchor="_Toc220973599" w:history="1">
            <w:r>
              <w:rPr>
                <w:rStyle w:val="Hyperlink"/>
                <w:noProof/>
              </w:rPr>
              <w:t>3.1 Navigator: Permanent Assignment</w:t>
            </w:r>
            <w:r>
              <w:rPr>
                <w:noProof/>
              </w:rPr>
              <w:tab/>
              <w:fldChar w:fldCharType="begin"/>
              <w:instrText xml:space="preserve"> PAGEREF _Toc220973599 \h </w:instrText>
              <w:fldChar w:fldCharType="separate"/>
              <w:t>11</w:t>
              <w:fldChar w:fldCharType="end"/>
            </w:r>
          </w:hyperlink>
        </w:p>
        <w:p w:rsidR="0042093D" w:rsidRDefault="0042093D">
          <w:pPr>
            <w:pStyle w:val="TOC2"/>
            <w:tabs>
              <w:tab w:val="right" w:leader="dot" w:pos="9350"/>
            </w:tabs>
            <w:rPr>
              <w:noProof/>
            </w:rPr>
          </w:pPr>
          <w:hyperlink w:anchor="_Toc220973600" w:history="1">
            <w:r>
              <w:rPr>
                <w:rStyle w:val="Hyperlink"/>
                <w:noProof/>
              </w:rPr>
              <w:t>3.2 Anchor-Plus-Rotation Protocol</w:t>
            </w:r>
            <w:r>
              <w:rPr>
                <w:noProof/>
              </w:rPr>
              <w:tab/>
              <w:fldChar w:fldCharType="begin"/>
              <w:instrText xml:space="preserve"> PAGEREF _Toc220973600 \h </w:instrText>
              <w:fldChar w:fldCharType="separate"/>
              <w:t>11</w:t>
              <w:fldChar w:fldCharType="end"/>
            </w:r>
          </w:hyperlink>
        </w:p>
        <w:p w:rsidR="0042093D" w:rsidRDefault="0042093D">
          <w:pPr>
            <w:pStyle w:val="TOC2"/>
            <w:tabs>
              <w:tab w:val="right" w:leader="dot" w:pos="9350"/>
            </w:tabs>
            <w:rPr>
              <w:noProof/>
            </w:rPr>
          </w:pPr>
          <w:hyperlink w:anchor="_Toc220973601" w:history="1">
            <w:r>
              <w:rPr>
                <w:rStyle w:val="Hyperlink"/>
                <w:noProof/>
              </w:rPr>
              <w:t>3.3 Agent Neutrality Principle</w:t>
            </w:r>
            <w:r>
              <w:rPr>
                <w:noProof/>
              </w:rPr>
              <w:tab/>
              <w:fldChar w:fldCharType="begin"/>
              <w:instrText xml:space="preserve"> PAGEREF _Toc220973601 \h </w:instrText>
              <w:fldChar w:fldCharType="separate"/>
              <w:t>11</w:t>
              <w:fldChar w:fldCharType="end"/>
            </w:r>
          </w:hyperlink>
        </w:p>
        <w:p w:rsidR="0042093D" w:rsidRDefault="0042093D">
          <w:pPr>
            <w:pStyle w:val="TOC2"/>
            <w:tabs>
              <w:tab w:val="right" w:leader="dot" w:pos="9350"/>
            </w:tabs>
            <w:rPr>
              <w:noProof/>
            </w:rPr>
          </w:pPr>
          <w:hyperlink w:anchor="_Toc220973602" w:history="1">
            <w:r>
              <w:rPr>
                <w:rStyle w:val="Hyperlink"/>
                <w:noProof/>
              </w:rPr>
              <w:t>3.4 Post-Project Navigator Balance Audit</w:t>
            </w:r>
            <w:r>
              <w:rPr>
                <w:noProof/>
              </w:rPr>
              <w:tab/>
              <w:fldChar w:fldCharType="begin"/>
              <w:instrText xml:space="preserve"> PAGEREF _Toc220973602 \h </w:instrText>
              <w:fldChar w:fldCharType="separate"/>
              <w:t>12</w:t>
              <w:fldChar w:fldCharType="end"/>
            </w:r>
          </w:hyperlink>
        </w:p>
        <w:p w:rsidR="0042093D" w:rsidRDefault="0042093D">
          <w:pPr>
            <w:pStyle w:val="TOC2"/>
            <w:tabs>
              <w:tab w:val="right" w:leader="dot" w:pos="9350"/>
            </w:tabs>
            <w:rPr>
              <w:noProof/>
            </w:rPr>
          </w:pPr>
          <w:hyperlink w:anchor="_Toc220973603" w:history="1">
            <w:r>
              <w:rPr>
                <w:rStyle w:val="Hyperlink"/>
                <w:noProof/>
              </w:rPr>
              <w:t>3.5 Existential Safeguard Through Provider Plurality</w:t>
            </w:r>
            <w:r>
              <w:rPr>
                <w:noProof/>
              </w:rPr>
              <w:tab/>
              <w:fldChar w:fldCharType="begin"/>
              <w:instrText xml:space="preserve"> PAGEREF _Toc220973603 \h </w:instrText>
              <w:fldChar w:fldCharType="separate"/>
              <w:t>12</w:t>
              <w:fldChar w:fldCharType="end"/>
            </w:r>
          </w:hyperlink>
        </w:p>
        <w:p w:rsidR="0042093D" w:rsidRDefault="0042093D">
          <w:pPr>
            <w:pStyle w:val="TOC2"/>
            <w:tabs>
              <w:tab w:val="right" w:leader="dot" w:pos="9350"/>
            </w:tabs>
            <w:rPr>
              <w:noProof/>
            </w:rPr>
          </w:pPr>
          <w:hyperlink w:anchor="_Toc220973604" w:history="1">
            <w:r>
              <w:rPr>
                <w:rStyle w:val="Hyperlink"/>
                <w:noProof/>
              </w:rPr>
              <w:t>3.6 Agent Security Architecture</w:t>
            </w:r>
            <w:r>
              <w:rPr>
                <w:noProof/>
              </w:rPr>
              <w:tab/>
              <w:fldChar w:fldCharType="begin"/>
              <w:instrText xml:space="preserve"> PAGEREF _Toc220973604 \h </w:instrText>
              <w:fldChar w:fldCharType="separate"/>
              <w:t>16</w:t>
              <w:fldChar w:fldCharType="end"/>
            </w:r>
          </w:hyperlink>
        </w:p>
        <w:p w:rsidR="0042093D" w:rsidRDefault="0042093D">
          <w:pPr>
            <w:pStyle w:val="TOC1"/>
            <w:tabs>
              <w:tab w:val="right" w:leader="dot" w:pos="9350"/>
            </w:tabs>
            <w:rPr>
              <w:noProof/>
            </w:rPr>
          </w:pPr>
          <w:hyperlink w:anchor="_Toc220973605" w:history="1">
            <w:r>
              <w:rPr>
                <w:rStyle w:val="Hyperlink"/>
                <w:noProof/>
              </w:rPr>
              <w:t>4. Audit File Architecture</w:t>
            </w:r>
            <w:r>
              <w:rPr>
                <w:noProof/>
              </w:rPr>
              <w:tab/>
              <w:fldChar w:fldCharType="begin"/>
              <w:instrText xml:space="preserve"> PAGEREF _Toc220973605 \h </w:instrText>
              <w:fldChar w:fldCharType="separate"/>
              <w:t>17</w:t>
              <w:fldChar w:fldCharType="end"/>
            </w:r>
          </w:hyperlink>
        </w:p>
        <w:p w:rsidR="0042093D" w:rsidRDefault="0042093D">
          <w:pPr>
            <w:pStyle w:val="TOC2"/>
            <w:tabs>
              <w:tab w:val="right" w:leader="dot" w:pos="9350"/>
            </w:tabs>
            <w:rPr>
              <w:noProof/>
            </w:rPr>
          </w:pPr>
          <w:hyperlink w:anchor="_Toc220973606" w:history="1">
            <w:r>
              <w:rPr>
                <w:rStyle w:val="Hyperlink"/>
                <w:noProof/>
              </w:rPr>
              <w:t>4.1 Self-Documenting Schema</w:t>
            </w:r>
            <w:r>
              <w:rPr>
                <w:noProof/>
              </w:rPr>
              <w:tab/>
              <w:fldChar w:fldCharType="begin"/>
              <w:instrText xml:space="preserve"> PAGEREF _Toc220973606 \h </w:instrText>
              <w:fldChar w:fldCharType="separate"/>
              <w:t>18</w:t>
              <w:fldChar w:fldCharType="end"/>
            </w:r>
          </w:hyperlink>
        </w:p>
        <w:p w:rsidR="0042093D" w:rsidRDefault="0042093D">
          <w:pPr>
            <w:pStyle w:val="TOC2"/>
            <w:tabs>
              <w:tab w:val="right" w:leader="dot" w:pos="9350"/>
            </w:tabs>
            <w:rPr>
              <w:noProof/>
            </w:rPr>
          </w:pPr>
          <w:hyperlink w:anchor="_Toc220973607" w:history="1">
            <w:r>
              <w:rPr>
                <w:rStyle w:val="Hyperlink"/>
                <w:noProof/>
              </w:rPr>
              <w:t>4.2 Six Record Types</w:t>
            </w:r>
            <w:r>
              <w:rPr>
                <w:noProof/>
              </w:rPr>
              <w:tab/>
              <w:fldChar w:fldCharType="begin"/>
              <w:instrText xml:space="preserve"> PAGEREF _Toc220973607 \h </w:instrText>
              <w:fldChar w:fldCharType="separate"/>
              <w:t>18</w:t>
              <w:fldChar w:fldCharType="end"/>
            </w:r>
          </w:hyperlink>
        </w:p>
        <w:p w:rsidR="0042093D" w:rsidRDefault="0042093D">
          <w:pPr>
            <w:pStyle w:val="TOC2"/>
            <w:tabs>
              <w:tab w:val="right" w:leader="dot" w:pos="9350"/>
            </w:tabs>
            <w:rPr>
              <w:noProof/>
            </w:rPr>
          </w:pPr>
          <w:hyperlink w:anchor="_Toc220973608" w:history="1">
            <w:r>
              <w:rPr>
                <w:rStyle w:val="Hyperlink"/>
                <w:noProof/>
              </w:rPr>
              <w:t>4.3 Immutability</w:t>
            </w:r>
            <w:r>
              <w:rPr>
                <w:noProof/>
              </w:rPr>
              <w:tab/>
              <w:fldChar w:fldCharType="begin"/>
              <w:instrText xml:space="preserve"> PAGEREF _Toc220973608 \h </w:instrText>
              <w:fldChar w:fldCharType="separate"/>
              <w:t>18</w:t>
              <w:fldChar w:fldCharType="end"/>
            </w:r>
          </w:hyperlink>
        </w:p>
        <w:p w:rsidR="0042093D" w:rsidRDefault="0042093D">
          <w:pPr>
            <w:pStyle w:val="TOC2"/>
            <w:tabs>
              <w:tab w:val="right" w:leader="dot" w:pos="9350"/>
            </w:tabs>
            <w:rPr>
              <w:noProof/>
            </w:rPr>
          </w:pPr>
          <w:hyperlink w:anchor="_Toc220973609" w:history="1">
            <w:r>
              <w:rPr>
                <w:rStyle w:val="Hyperlink"/>
                <w:noProof/>
              </w:rPr>
              <w:t>4.4 Segmentation Strategy</w:t>
            </w:r>
            <w:r>
              <w:rPr>
                <w:noProof/>
              </w:rPr>
              <w:tab/>
              <w:fldChar w:fldCharType="begin"/>
              <w:instrText xml:space="preserve"> PAGEREF _Toc220973609 \h </w:instrText>
              <w:fldChar w:fldCharType="separate"/>
              <w:t>19</w:t>
              <w:fldChar w:fldCharType="end"/>
            </w:r>
          </w:hyperlink>
        </w:p>
        <w:p w:rsidR="0042093D" w:rsidRDefault="0042093D">
          <w:pPr>
            <w:pStyle w:val="TOC1"/>
            <w:tabs>
              <w:tab w:val="right" w:leader="dot" w:pos="9350"/>
            </w:tabs>
            <w:rPr>
              <w:noProof/>
            </w:rPr>
          </w:pPr>
          <w:hyperlink w:anchor="_Toc220973610" w:history="1">
            <w:r>
              <w:rPr>
                <w:rStyle w:val="Hyperlink"/>
                <w:noProof/>
              </w:rPr>
              <w:t>5. Regulatory Compliance Coverage</w:t>
            </w:r>
            <w:r>
              <w:rPr>
                <w:noProof/>
              </w:rPr>
              <w:tab/>
              <w:fldChar w:fldCharType="begin"/>
              <w:instrText xml:space="preserve"> PAGEREF _Toc220973610 \h </w:instrText>
              <w:fldChar w:fldCharType="separate"/>
              <w:t>19</w:t>
              <w:fldChar w:fldCharType="end"/>
            </w:r>
          </w:hyperlink>
        </w:p>
        <w:p w:rsidR="0042093D" w:rsidRDefault="0042093D">
          <w:pPr>
            <w:pStyle w:val="TOC2"/>
            <w:tabs>
              <w:tab w:val="right" w:leader="dot" w:pos="9350"/>
            </w:tabs>
            <w:rPr>
              <w:noProof/>
            </w:rPr>
          </w:pPr>
          <w:hyperlink w:anchor="_Toc220973611" w:history="1">
            <w:r>
              <w:rPr>
                <w:rStyle w:val="Hyperlink"/>
                <w:noProof/>
              </w:rPr>
              <w:t>5.1 Three-Layer Compliance Stack</w:t>
            </w:r>
            <w:r>
              <w:rPr>
                <w:noProof/>
              </w:rPr>
              <w:tab/>
              <w:fldChar w:fldCharType="begin"/>
              <w:instrText xml:space="preserve"> PAGEREF _Toc220973611 \h </w:instrText>
              <w:fldChar w:fldCharType="separate"/>
              <w:t>19</w:t>
              <w:fldChar w:fldCharType="end"/>
            </w:r>
          </w:hyperlink>
        </w:p>
        <w:p w:rsidR="0042093D" w:rsidRDefault="0042093D">
          <w:pPr>
            <w:pStyle w:val="TOC2"/>
            <w:tabs>
              <w:tab w:val="right" w:leader="dot" w:pos="9350"/>
            </w:tabs>
            <w:rPr>
              <w:noProof/>
            </w:rPr>
          </w:pPr>
          <w:hyperlink w:anchor="_Toc220973612" w:history="1">
            <w:r>
              <w:rPr>
                <w:rStyle w:val="Hyperlink"/>
                <w:noProof/>
              </w:rPr>
              <w:t>5.2 Compliance Coverage Matrix</w:t>
            </w:r>
            <w:r>
              <w:rPr>
                <w:noProof/>
              </w:rPr>
              <w:tab/>
              <w:fldChar w:fldCharType="begin"/>
              <w:instrText xml:space="preserve"> PAGEREF _Toc220973612 \h </w:instrText>
              <w:fldChar w:fldCharType="separate"/>
              <w:t>19</w:t>
              <w:fldChar w:fldCharType="end"/>
            </w:r>
          </w:hyperlink>
        </w:p>
        <w:p w:rsidR="0042093D" w:rsidRDefault="0042093D">
          <w:pPr>
            <w:pStyle w:val="TOC1"/>
            <w:tabs>
              <w:tab w:val="right" w:leader="dot" w:pos="9350"/>
            </w:tabs>
            <w:rPr>
              <w:noProof/>
            </w:rPr>
          </w:pPr>
          <w:hyperlink w:anchor="_Toc220973613" w:history="1">
            <w:r>
              <w:rPr>
                <w:rStyle w:val="Hyperlink"/>
                <w:noProof/>
              </w:rPr>
              <w:t>6. Data Governance Through Multi-Platform Triangulation</w:t>
            </w:r>
            <w:r>
              <w:rPr>
                <w:noProof/>
              </w:rPr>
              <w:tab/>
              <w:fldChar w:fldCharType="begin"/>
              <w:instrText xml:space="preserve"> PAGEREF _Toc220973613 \h </w:instrText>
              <w:fldChar w:fldCharType="separate"/>
              <w:t>20</w:t>
              <w:fldChar w:fldCharType="end"/>
            </w:r>
          </w:hyperlink>
        </w:p>
        <w:p w:rsidR="0042093D" w:rsidRDefault="0042093D">
          <w:pPr>
            <w:pStyle w:val="TOC2"/>
            <w:tabs>
              <w:tab w:val="right" w:leader="dot" w:pos="9350"/>
            </w:tabs>
            <w:rPr>
              <w:noProof/>
            </w:rPr>
          </w:pPr>
          <w:hyperlink w:anchor="_Toc220973614" w:history="1">
            <w:r>
              <w:rPr>
                <w:rStyle w:val="Hyperlink"/>
                <w:noProof/>
              </w:rPr>
              <w:t>6.1 The Argument</w:t>
            </w:r>
            <w:r>
              <w:rPr>
                <w:noProof/>
              </w:rPr>
              <w:tab/>
              <w:fldChar w:fldCharType="begin"/>
              <w:instrText xml:space="preserve"> PAGEREF _Toc220973614 \h </w:instrText>
              <w:fldChar w:fldCharType="separate"/>
              <w:t>20</w:t>
              <w:fldChar w:fldCharType="end"/>
            </w:r>
          </w:hyperlink>
        </w:p>
        <w:p w:rsidR="0042093D" w:rsidRDefault="0042093D">
          <w:pPr>
            <w:pStyle w:val="TOC2"/>
            <w:tabs>
              <w:tab w:val="right" w:leader="dot" w:pos="9350"/>
            </w:tabs>
            <w:rPr>
              <w:noProof/>
            </w:rPr>
          </w:pPr>
          <w:hyperlink w:anchor="_Toc220973615" w:history="1">
            <w:r>
              <w:rPr>
                <w:rStyle w:val="Hyperlink"/>
                <w:noProof/>
              </w:rPr>
              <w:t>6.2 Operational Evidence</w:t>
            </w:r>
            <w:r>
              <w:rPr>
                <w:noProof/>
              </w:rPr>
              <w:tab/>
              <w:fldChar w:fldCharType="begin"/>
              <w:instrText xml:space="preserve"> PAGEREF _Toc220973615 \h </w:instrText>
              <w:fldChar w:fldCharType="separate"/>
              <w:t>21</w:t>
              <w:fldChar w:fldCharType="end"/>
            </w:r>
          </w:hyperlink>
        </w:p>
        <w:p w:rsidR="0042093D" w:rsidRDefault="0042093D">
          <w:pPr>
            <w:pStyle w:val="TOC2"/>
            <w:tabs>
              <w:tab w:val="right" w:leader="dot" w:pos="9350"/>
            </w:tabs>
            <w:rPr>
              <w:noProof/>
            </w:rPr>
          </w:pPr>
          <w:hyperlink w:anchor="_Toc220973616" w:history="1">
            <w:r>
              <w:rPr>
                <w:rStyle w:val="Hyperlink"/>
                <w:noProof/>
              </w:rPr>
              <w:t>6.3 Limitations</w:t>
            </w:r>
            <w:r>
              <w:rPr>
                <w:noProof/>
              </w:rPr>
              <w:tab/>
              <w:fldChar w:fldCharType="begin"/>
              <w:instrText xml:space="preserve"> PAGEREF _Toc220973616 \h </w:instrText>
              <w:fldChar w:fldCharType="separate"/>
              <w:t>22</w:t>
              <w:fldChar w:fldCharType="end"/>
            </w:r>
          </w:hyperlink>
        </w:p>
        <w:p w:rsidR="0042093D" w:rsidRDefault="0042093D">
          <w:pPr>
            <w:pStyle w:val="TOC2"/>
            <w:tabs>
              <w:tab w:val="right" w:leader="dot" w:pos="9350"/>
            </w:tabs>
            <w:rPr>
              <w:noProof/>
            </w:rPr>
          </w:pPr>
          <w:hyperlink w:anchor="_Toc220973617" w:history="1">
            <w:r>
              <w:rPr>
                <w:rStyle w:val="Hyperlink"/>
                <w:noProof/>
              </w:rPr>
              <w:t>6.4 Recommendation</w:t>
            </w:r>
            <w:r>
              <w:rPr>
                <w:noProof/>
              </w:rPr>
              <w:tab/>
              <w:fldChar w:fldCharType="begin"/>
              <w:instrText xml:space="preserve"> PAGEREF _Toc220973617 \h </w:instrText>
              <w:fldChar w:fldCharType="separate"/>
              <w:t>22</w:t>
              <w:fldChar w:fldCharType="end"/>
            </w:r>
          </w:hyperlink>
        </w:p>
        <w:p w:rsidR="0042093D" w:rsidRDefault="0042093D">
          <w:pPr>
            <w:pStyle w:val="TOC1"/>
            <w:tabs>
              <w:tab w:val="right" w:leader="dot" w:pos="9350"/>
            </w:tabs>
            <w:rPr>
              <w:noProof/>
            </w:rPr>
          </w:pPr>
          <w:hyperlink w:anchor="_Toc220973618" w:history="1">
            <w:r>
              <w:rPr>
                <w:rStyle w:val="Hyperlink"/>
                <w:noProof/>
              </w:rPr>
              <w:t>7. Storage Requirements Estimate</w:t>
            </w:r>
            <w:r>
              <w:rPr>
                <w:noProof/>
              </w:rPr>
              <w:tab/>
              <w:fldChar w:fldCharType="begin"/>
              <w:instrText xml:space="preserve"> PAGEREF _Toc220973618 \h </w:instrText>
              <w:fldChar w:fldCharType="separate"/>
              <w:t>23</w:t>
              <w:fldChar w:fldCharType="end"/>
            </w:r>
          </w:hyperlink>
        </w:p>
        <w:p w:rsidR="0042093D" w:rsidRDefault="0042093D">
          <w:pPr>
            <w:pStyle w:val="TOC2"/>
            <w:tabs>
              <w:tab w:val="right" w:leader="dot" w:pos="9350"/>
            </w:tabs>
            <w:rPr>
              <w:noProof/>
            </w:rPr>
          </w:pPr>
          <w:hyperlink w:anchor="_Toc220973619" w:history="1">
            <w:r>
              <w:rPr>
                <w:rStyle w:val="Hyperlink"/>
                <w:noProof/>
              </w:rPr>
              <w:t>7.1 Manuscript Production Parameters</w:t>
            </w:r>
            <w:r>
              <w:rPr>
                <w:noProof/>
              </w:rPr>
              <w:tab/>
              <w:fldChar w:fldCharType="begin"/>
              <w:instrText xml:space="preserve"> PAGEREF _Toc220973619 \h </w:instrText>
              <w:fldChar w:fldCharType="separate"/>
              <w:t>23</w:t>
              <w:fldChar w:fldCharType="end"/>
            </w:r>
          </w:hyperlink>
        </w:p>
        <w:p w:rsidR="0042093D" w:rsidRDefault="0042093D">
          <w:pPr>
            <w:pStyle w:val="TOC2"/>
            <w:tabs>
              <w:tab w:val="right" w:leader="dot" w:pos="9350"/>
            </w:tabs>
            <w:rPr>
              <w:noProof/>
            </w:rPr>
          </w:pPr>
          <w:hyperlink w:anchor="_Toc220973620" w:history="1">
            <w:r>
              <w:rPr>
                <w:rStyle w:val="Hyperlink"/>
                <w:noProof/>
              </w:rPr>
              <w:t>7.2 Per-Transaction Storage</w:t>
            </w:r>
            <w:r>
              <w:rPr>
                <w:noProof/>
              </w:rPr>
              <w:tab/>
              <w:fldChar w:fldCharType="begin"/>
              <w:instrText xml:space="preserve"> PAGEREF _Toc220973620 \h </w:instrText>
              <w:fldChar w:fldCharType="separate"/>
              <w:t>23</w:t>
              <w:fldChar w:fldCharType="end"/>
            </w:r>
          </w:hyperlink>
        </w:p>
        <w:p w:rsidR="0042093D" w:rsidRDefault="0042093D">
          <w:pPr>
            <w:pStyle w:val="TOC2"/>
            <w:tabs>
              <w:tab w:val="right" w:leader="dot" w:pos="9350"/>
            </w:tabs>
            <w:rPr>
              <w:noProof/>
            </w:rPr>
          </w:pPr>
          <w:hyperlink w:anchor="_Toc220973621" w:history="1">
            <w:r>
              <w:rPr>
                <w:rStyle w:val="Hyperlink"/>
                <w:noProof/>
              </w:rPr>
              <w:t>7.3 Total Estimate</w:t>
            </w:r>
            <w:r>
              <w:rPr>
                <w:noProof/>
              </w:rPr>
              <w:tab/>
              <w:fldChar w:fldCharType="begin"/>
              <w:instrText xml:space="preserve"> PAGEREF _Toc220973621 \h </w:instrText>
              <w:fldChar w:fldCharType="separate"/>
              <w:t>23</w:t>
              <w:fldChar w:fldCharType="end"/>
            </w:r>
          </w:hyperlink>
        </w:p>
        <w:p w:rsidR="0042093D" w:rsidRDefault="0042093D">
          <w:pPr>
            <w:pStyle w:val="TOC2"/>
            <w:tabs>
              <w:tab w:val="right" w:leader="dot" w:pos="9350"/>
            </w:tabs>
            <w:rPr>
              <w:noProof/>
            </w:rPr>
          </w:pPr>
          <w:hyperlink w:anchor="_Toc220973622" w:history="1">
            <w:r>
              <w:rPr>
                <w:rStyle w:val="Hyperlink"/>
                <w:noProof/>
              </w:rPr>
              <w:t>7.4 Retention Policy</w:t>
            </w:r>
            <w:r>
              <w:rPr>
                <w:noProof/>
              </w:rPr>
              <w:tab/>
              <w:fldChar w:fldCharType="begin"/>
              <w:instrText xml:space="preserve"> PAGEREF _Toc220973622 \h </w:instrText>
              <w:fldChar w:fldCharType="separate"/>
              <w:t>23</w:t>
              <w:fldChar w:fldCharType="end"/>
            </w:r>
          </w:hyperlink>
        </w:p>
        <w:p w:rsidR="0042093D" w:rsidRDefault="0042093D">
          <w:pPr>
            <w:pStyle w:val="TOC1"/>
            <w:tabs>
              <w:tab w:val="right" w:leader="dot" w:pos="9350"/>
            </w:tabs>
            <w:rPr>
              <w:noProof/>
            </w:rPr>
          </w:pPr>
          <w:hyperlink w:anchor="_Toc220973623" w:history="1">
            <w:r>
              <w:rPr>
                <w:rStyle w:val="Hyperlink"/>
                <w:noProof/>
              </w:rPr>
              <w:t>8. Agent Operational Sequence</w:t>
            </w:r>
            <w:r>
              <w:rPr>
                <w:noProof/>
              </w:rPr>
              <w:tab/>
              <w:fldChar w:fldCharType="begin"/>
              <w:instrText xml:space="preserve"> PAGEREF _Toc220973623 \h </w:instrText>
              <w:fldChar w:fldCharType="separate"/>
              <w:t>24</w:t>
              <w:fldChar w:fldCharType="end"/>
            </w:r>
          </w:hyperlink>
        </w:p>
        <w:p w:rsidR="0042093D" w:rsidRDefault="0042093D">
          <w:pPr>
            <w:pStyle w:val="TOC1"/>
            <w:tabs>
              <w:tab w:val="right" w:leader="dot" w:pos="9350"/>
            </w:tabs>
            <w:rPr>
              <w:noProof/>
            </w:rPr>
          </w:pPr>
          <w:hyperlink w:anchor="_Toc220973624" w:history="1">
            <w:r>
              <w:rPr>
                <w:rStyle w:val="Hyperlink"/>
                <w:noProof/>
              </w:rPr>
              <w:t>9. Implementation Roadmap</w:t>
            </w:r>
            <w:r>
              <w:rPr>
                <w:noProof/>
              </w:rPr>
              <w:tab/>
              <w:fldChar w:fldCharType="begin"/>
              <w:instrText xml:space="preserve"> PAGEREF _Toc220973624 \h </w:instrText>
              <w:fldChar w:fldCharType="separate"/>
              <w:t>24</w:t>
              <w:fldChar w:fldCharType="end"/>
            </w:r>
          </w:hyperlink>
        </w:p>
        <w:p w:rsidR="0042093D" w:rsidRDefault="0042093D">
          <w:pPr>
            <w:pStyle w:val="TOC2"/>
            <w:tabs>
              <w:tab w:val="right" w:leader="dot" w:pos="9350"/>
            </w:tabs>
            <w:rPr>
              <w:noProof/>
            </w:rPr>
          </w:pPr>
          <w:hyperlink w:anchor="_Toc220973625" w:history="1">
            <w:r>
              <w:rPr>
                <w:rStyle w:val="Hyperlink"/>
                <w:noProof/>
              </w:rPr>
              <w:t>9.1 Phase 0: Immediate (No Agent)</w:t>
            </w:r>
            <w:r>
              <w:rPr>
                <w:noProof/>
              </w:rPr>
              <w:tab/>
              <w:fldChar w:fldCharType="begin"/>
              <w:instrText xml:space="preserve"> PAGEREF _Toc220973625 \h </w:instrText>
              <w:fldChar w:fldCharType="separate"/>
              <w:t>24</w:t>
              <w:fldChar w:fldCharType="end"/>
            </w:r>
          </w:hyperlink>
        </w:p>
        <w:p w:rsidR="0042093D" w:rsidRDefault="0042093D">
          <w:pPr>
            <w:pStyle w:val="TOC2"/>
            <w:tabs>
              <w:tab w:val="right" w:leader="dot" w:pos="9350"/>
            </w:tabs>
            <w:rPr>
              <w:noProof/>
            </w:rPr>
          </w:pPr>
          <w:hyperlink w:anchor="_Toc220973626" w:history="1">
            <w:r>
              <w:rPr>
                <w:rStyle w:val="Hyperlink"/>
                <w:noProof/>
              </w:rPr>
              <w:t>9.2 Phase 1: Audit File Infrastructure</w:t>
            </w:r>
            <w:r>
              <w:rPr>
                <w:noProof/>
              </w:rPr>
              <w:tab/>
              <w:fldChar w:fldCharType="begin"/>
              <w:instrText xml:space="preserve"> PAGEREF _Toc220973626 \h </w:instrText>
              <w:fldChar w:fldCharType="separate"/>
              <w:t>24</w:t>
              <w:fldChar w:fldCharType="end"/>
            </w:r>
          </w:hyperlink>
        </w:p>
        <w:p w:rsidR="0042093D" w:rsidRDefault="0042093D">
          <w:pPr>
            <w:pStyle w:val="TOC2"/>
            <w:tabs>
              <w:tab w:val="right" w:leader="dot" w:pos="9350"/>
            </w:tabs>
            <w:rPr>
              <w:noProof/>
            </w:rPr>
          </w:pPr>
          <w:hyperlink w:anchor="_Toc220973627" w:history="1">
            <w:r>
              <w:rPr>
                <w:rStyle w:val="Hyperlink"/>
                <w:noProof/>
              </w:rPr>
              <w:t>9.3 Phase 2: Agent Core (Record-Keeping)</w:t>
            </w:r>
            <w:r>
              <w:rPr>
                <w:noProof/>
              </w:rPr>
              <w:tab/>
              <w:fldChar w:fldCharType="begin"/>
              <w:instrText xml:space="preserve"> PAGEREF _Toc220973627 \h </w:instrText>
              <w:fldChar w:fldCharType="separate"/>
              <w:t>25</w:t>
              <w:fldChar w:fldCharType="end"/>
            </w:r>
          </w:hyperlink>
        </w:p>
        <w:p w:rsidR="0042093D" w:rsidRDefault="0042093D">
          <w:pPr>
            <w:pStyle w:val="TOC2"/>
            <w:tabs>
              <w:tab w:val="right" w:leader="dot" w:pos="9350"/>
            </w:tabs>
            <w:rPr>
              <w:noProof/>
            </w:rPr>
          </w:pPr>
          <w:hyperlink w:anchor="_Toc220973628" w:history="1">
            <w:r>
              <w:rPr>
                <w:rStyle w:val="Hyperlink"/>
                <w:noProof/>
              </w:rPr>
              <w:t>9.4 Phase 3: Dispatch and Synthesis</w:t>
            </w:r>
            <w:r>
              <w:rPr>
                <w:noProof/>
              </w:rPr>
              <w:tab/>
              <w:fldChar w:fldCharType="begin"/>
              <w:instrText xml:space="preserve"> PAGEREF _Toc220973628 \h </w:instrText>
              <w:fldChar w:fldCharType="separate"/>
              <w:t>25</w:t>
              <w:fldChar w:fldCharType="end"/>
            </w:r>
          </w:hyperlink>
        </w:p>
        <w:p w:rsidR="0042093D" w:rsidRDefault="0042093D">
          <w:pPr>
            <w:pStyle w:val="TOC2"/>
            <w:tabs>
              <w:tab w:val="right" w:leader="dot" w:pos="9350"/>
            </w:tabs>
            <w:rPr>
              <w:noProof/>
            </w:rPr>
          </w:pPr>
          <w:hyperlink w:anchor="_Toc220973629" w:history="1">
            <w:r>
              <w:rPr>
                <w:rStyle w:val="Hyperlink"/>
                <w:noProof/>
              </w:rPr>
              <w:t>9.5 Phase 4: Checkpoint Gates</w:t>
            </w:r>
            <w:r>
              <w:rPr>
                <w:noProof/>
              </w:rPr>
              <w:tab/>
              <w:fldChar w:fldCharType="begin"/>
              <w:instrText xml:space="preserve"> PAGEREF _Toc220973629 \h </w:instrText>
              <w:fldChar w:fldCharType="separate"/>
              <w:t>25</w:t>
              <w:fldChar w:fldCharType="end"/>
            </w:r>
          </w:hyperlink>
        </w:p>
        <w:p w:rsidR="0042093D" w:rsidRDefault="0042093D">
          <w:pPr>
            <w:pStyle w:val="TOC2"/>
            <w:tabs>
              <w:tab w:val="right" w:leader="dot" w:pos="9350"/>
            </w:tabs>
            <w:rPr>
              <w:noProof/>
            </w:rPr>
          </w:pPr>
          <w:hyperlink w:anchor="_Toc220973630" w:history="1">
            <w:r>
              <w:rPr>
                <w:rStyle w:val="Hyperlink"/>
                <w:noProof/>
              </w:rPr>
              <w:t>9.6 Phase 5: Compliance Validation</w:t>
            </w:r>
            <w:r>
              <w:rPr>
                <w:noProof/>
              </w:rPr>
              <w:tab/>
              <w:fldChar w:fldCharType="begin"/>
              <w:instrText xml:space="preserve"> PAGEREF _Toc220973630 \h </w:instrText>
              <w:fldChar w:fldCharType="separate"/>
              <w:t>25</w:t>
              <w:fldChar w:fldCharType="end"/>
            </w:r>
          </w:hyperlink>
        </w:p>
        <w:p w:rsidR="0042093D" w:rsidRDefault="0042093D">
          <w:pPr>
            <w:pStyle w:val="TOC1"/>
            <w:tabs>
              <w:tab w:val="right" w:leader="dot" w:pos="9350"/>
            </w:tabs>
            <w:rPr>
              <w:noProof/>
            </w:rPr>
          </w:pPr>
          <w:hyperlink w:anchor="_Toc220973631" w:history="1">
            <w:r>
              <w:rPr>
                <w:rStyle w:val="Hyperlink"/>
                <w:noProof/>
              </w:rPr>
              <w:t>10. Sources</w:t>
            </w:r>
            <w:r>
              <w:rPr>
                <w:noProof/>
              </w:rPr>
              <w:tab/>
              <w:fldChar w:fldCharType="begin"/>
              <w:instrText xml:space="preserve"> PAGEREF _Toc220973631 \h </w:instrText>
              <w:fldChar w:fldCharType="separate"/>
              <w:t>25</w:t>
              <w:fldChar w:fldCharType="end"/>
            </w:r>
          </w:hyperlink>
        </w:p>
        <w:p w:rsidR="0042093D" w:rsidRDefault="0042093D">
          <w:pPr>
            <w:pStyle w:val="TOC2"/>
            <w:tabs>
              <w:tab w:val="right" w:leader="dot" w:pos="9350"/>
            </w:tabs>
            <w:rPr>
              <w:noProof/>
            </w:rPr>
          </w:pPr>
          <w:hyperlink w:anchor="_Toc220973632" w:history="1">
            <w:r>
              <w:rPr>
                <w:rStyle w:val="Hyperlink"/>
                <w:noProof/>
              </w:rPr>
              <w:t>Framework Documents</w:t>
            </w:r>
            <w:r>
              <w:rPr>
                <w:noProof/>
              </w:rPr>
              <w:tab/>
              <w:fldChar w:fldCharType="begin"/>
              <w:instrText xml:space="preserve"> PAGEREF _Toc220973632 \h </w:instrText>
              <w:fldChar w:fldCharType="separate"/>
              <w:t>25</w:t>
              <w:fldChar w:fldCharType="end"/>
            </w:r>
          </w:hyperlink>
        </w:p>
        <w:p w:rsidR="0042093D" w:rsidRDefault="0042093D">
          <w:pPr>
            <w:pStyle w:val="TOC2"/>
            <w:tabs>
              <w:tab w:val="right" w:leader="dot" w:pos="9350"/>
            </w:tabs>
            <w:rPr>
              <w:noProof/>
            </w:rPr>
          </w:pPr>
          <w:hyperlink w:anchor="_Toc220973633" w:history="1">
            <w:r>
              <w:rPr>
                <w:rStyle w:val="Hyperlink"/>
                <w:noProof/>
              </w:rPr>
              <w:t>Existential Risk and Structural Precedent References</w:t>
            </w:r>
            <w:r>
              <w:rPr>
                <w:noProof/>
              </w:rPr>
              <w:tab/>
              <w:fldChar w:fldCharType="begin"/>
              <w:instrText xml:space="preserve"> PAGEREF _Toc220973633 \h </w:instrText>
              <w:fldChar w:fldCharType="separate"/>
              <w:t>26</w:t>
              <w:fldChar w:fldCharType="end"/>
            </w:r>
          </w:hyperlink>
        </w:p>
        <w:p w:rsidR="0042093D" w:rsidRDefault="0042093D">
          <w:pPr>
            <w:pStyle w:val="TOC2"/>
            <w:tabs>
              <w:tab w:val="right" w:leader="dot" w:pos="9350"/>
            </w:tabs>
            <w:rPr>
              <w:noProof/>
            </w:rPr>
          </w:pPr>
          <w:hyperlink w:anchor="_Toc220973634" w:history="1">
            <w:r>
              <w:rPr>
                <w:rStyle w:val="Hyperlink"/>
                <w:noProof/>
              </w:rPr>
              <w:t>Regulatory References</w:t>
            </w:r>
            <w:r>
              <w:rPr>
                <w:noProof/>
              </w:rPr>
              <w:tab/>
              <w:fldChar w:fldCharType="begin"/>
              <w:instrText xml:space="preserve"> PAGEREF _Toc220973634 \h </w:instrText>
              <w:fldChar w:fldCharType="separate"/>
              <w:t>26</w:t>
              <w:fldChar w:fldCharType="end"/>
            </w:r>
          </w:hyperlink>
        </w:p>
        <w:p w:rsidR="0042093D" w:rsidRDefault="0042093D">
          <w:pPr>
            <w:pStyle w:val="TOC2"/>
            <w:tabs>
              <w:tab w:val="right" w:leader="dot" w:pos="9350"/>
            </w:tabs>
            <w:rPr>
              <w:noProof/>
            </w:rPr>
          </w:pPr>
          <w:hyperlink w:anchor="_Toc220973635" w:history="1">
            <w:r>
              <w:rPr>
                <w:rStyle w:val="Hyperlink"/>
                <w:noProof/>
              </w:rPr>
              <w:t>Operational Evidence</w:t>
            </w:r>
            <w:r>
              <w:rPr>
                <w:noProof/>
              </w:rPr>
              <w:tab/>
              <w:fldChar w:fldCharType="begin"/>
              <w:instrText xml:space="preserve"> PAGEREF _Toc220973635 \h </w:instrText>
              <w:fldChar w:fldCharType="separate"/>
              <w:t>26</w:t>
              <w:fldChar w:fldCharType="end"/>
            </w:r>
          </w:hyperlink>
        </w:p>
        <w:p w:rsidR="0042093D" w:rsidRDefault="0042093D">
          <w:pPr>
            <w:pStyle w:val="TOC2"/>
            <w:tabs>
              <w:tab w:val="right" w:leader="dot" w:pos="9350"/>
            </w:tabs>
            <w:rPr>
              <w:noProof/>
            </w:rPr>
          </w:pPr>
          <w:hyperlink w:anchor="_Toc220973636" w:history="1">
            <w:r>
              <w:rPr>
                <w:rStyle w:val="Hyperlink"/>
                <w:noProof/>
              </w:rPr>
              <w:t>Related and Concurrent Work</w:t>
            </w:r>
            <w:r>
              <w:rPr>
                <w:noProof/>
              </w:rPr>
              <w:tab/>
              <w:fldChar w:fldCharType="begin"/>
              <w:instrText xml:space="preserve"> PAGEREF _Toc220973636 \h </w:instrText>
              <w:fldChar w:fldCharType="separate"/>
              <w:t>26</w:t>
              <w:fldChar w:fldCharType="end"/>
            </w:r>
          </w:hyperlink>
        </w:p>
        <w:p w:rsidR="003472A0" w:rsidRDefault="00CC3482">
          <w:r>
            <w:fldChar w:fldCharType="end"/>
          </w:r>
        </w:p>
      </w:sdtContent>
    </w:sdt>
    <w:p w:rsidR="003472A0" w:rsidRDefault="003472A0"/>
    <w:p w:rsidR="003472A0" w:rsidRDefault="00CC3482">
      <w:pPr>
        <w:pStyle w:val="Heading1"/>
        <w:keepNext/>
        <w:keepLines/>
      </w:pPr>
      <w:bookmarkStart w:id="3" w:name="_Toc220973587"/>
      <w:r>
        <w:lastRenderedPageBreak/>
        <w:t>Executive Summary</w:t>
      </w:r>
      <w:bookmarkEnd w:id="3"/>
    </w:p>
    <w:p w:rsidR="003472A0" w:rsidRDefault="00CC3482">
      <w:pPr>
        <w:spacing w:after="160" w:line="276" w:lineRule="auto"/>
      </w:pPr>
      <w:r>
        <w:t>This specification defines the architecture for the HAIA-RECCLIN agent, a governance record-keeping system with dispatch and synthesis capabilities for multi-AI collaboration. The agent automates audit-grade documentation of every human-AI interaction, replacing heroic manual effort with systematic, append-only logging that works to meet regulatory requirements including the EU AI Act, NIST AI Risk Management Framework, and ISO/IEC 42001.</w:t>
      </w:r>
    </w:p>
    <w:p w:rsidR="003472A0" w:rsidRDefault="00CC3482">
      <w:pPr>
        <w:spacing w:after="160" w:line="276" w:lineRule="auto"/>
      </w:pPr>
      <w:r>
        <w:t>The goal is to build an autonomous agent that operates as a standalone API platform, addressing the regulatory, compliance, and existential safety concerns that define the current moment in AI development, including the warnings raised by Geoffrey Hinton and documented in Governing AI: When Capability Exceeds Control (Puglisi, 2025). The agent receives a task from a human, including RECCLIN functional role assignment and operating model selection. It dispatches identical prompts to multiple independent AI platforms via their APIs using an anchor plus rotation pool protocol. It collects all responses. It routes those responses to the Navigator for synthesis with dissent preservation. It delivers the synthesized output to the human, pausing at checkpoints according to the operating model's gate settings. It records every step in an append-only, tamper-evident audit trail. It tracks automation bias metrics including approval rates and reversal rates across cycles. It performs zero cognitive work. It is a pipe with a logbook. The regulatory concerns it addresses by existing: human oversight is structural and not optional, every decision is documented and attributable, provider plurality prevents single-vendor capture, and the audit trail produces the logging, transparency, and accountability evidence required across the full compliance stack. The existential safety concern it addresses: if any AI platform exhibits unexpected behavior, the non-cognitive agent cannot be co-opted because there is nothing to co-opt, the rotation pool ensures no single platform is trusted alone, and the human checkpoint is architecturally mandatory regardless of operating model.</w:t>
      </w:r>
    </w:p>
    <w:p w:rsidR="003472A0" w:rsidRDefault="00CC3482">
      <w:pPr>
        <w:spacing w:after="160" w:line="276" w:lineRule="auto"/>
      </w:pPr>
      <w:r>
        <w:t>The architecture operates as a two-layer model. The AI layer performs seven functional roles (Researcher, Editor, Coder, Calculator, Liaison, Ideator, Navigator) across multiple independent AI platforms. The human layer exercises Checkpoint-Based Governance (CBG) arbitration, retaining final authority to approve, modify, or reject any AI output. The agent sits between these layers as a mechanical orchestrator: it dispatches requests, collects responses, routes to synthesis, and records everything. It performs zero cognitive work.</w:t>
      </w:r>
    </w:p>
    <w:p w:rsidR="003472A0" w:rsidRDefault="00CC3482">
      <w:pPr>
        <w:spacing w:after="160" w:line="276" w:lineRule="auto"/>
      </w:pPr>
      <w:r>
        <w:t xml:space="preserve">This specification distinguishes three categories of AI development that the field increasingly conflates. Ethical AI establishes values. It answers the question: what should AI do or avoid? This is normative work. It defines acceptable tradeoffs, boundaries, and the kind of harm a system is never permitted to scale. Ethics is the </w:t>
        <w:lastRenderedPageBreak/>
        <w:t>destination on the map. Responsible AI translates values into machine behavior. It answers the question: how do we shape the system to embody our ethical commitments? This includes constitutional training, alignment research, interpretability, safety testing, guardrails, and behavioral monitoring. All of it happens before or during output generation. All of it is upstream shaping. Responsible AI is how you build a vessel capable of reaching that destination. AI Governance exercises human authority over outputs. It requires three elements: visibility into how the system works, authority to intervene or halt, and accountability for what is released. If any element is missing, governance claims are hollow. You can perfect Responsible AI indefinitely. The machine validating itself at scale remains the machine validating itself. Notice the grammar. Ethical AI. Responsible AI. AI Governance. In the first two, AI sits as the noun, and ethics or responsibility modifies the machine. In governance, the structure reverses. AI modifies governance, and the human system holds the final position. This reflects where authority lands. (Puglisi, 2025; Puglisi, 2026). When these categories blur, organizations believe they have implemented controls they have not built. This specification operates in the third category.</w:t>
      </w:r>
    </w:p>
    <w:p w:rsidR="003472A0" w:rsidRDefault="00CC3482">
      <w:pPr>
        <w:spacing w:after="160" w:line="276" w:lineRule="auto"/>
      </w:pPr>
      <w:r>
        <w:t>Three HAIA Operating Models define how the system runs, scaling governance density proportional to risk. Model 1 (Agent Responsible AI) runs the full pipeline with a single final human checkpoint. Model 1 is explicitly named Responsible AI because, at factory quality, the agent handles upstream shaping and the human reviews the final output. The machine shapes the work; the human validates the result. This is Responsible AI by definition: values translated into machine behavior with a human checkpoint at the boundary. Model 2 (Agent AI Governance) pauses after each RECCLIN functional role for human review. Model 2 is AI Governance because the human exercises authority at every stage, not just the endpoint. Visibility, authority, and accountability operate at each checkpoint. Model 3 (Manual Human AI Governance) operates without the agent, with the human orchestrating directly across platforms. Model 3 is also AI Governance, with the human performing the orchestration the agent would otherwise automate. Models 1 and 2 produce agent-formatted audit evidence: structured, categorized, and consistent because the agent imposes the schema. Model 3 produces raw human work product: unmediated by any orchestration layer, structurally different from agent-formatted evidence, but the highest fidelity record of actual human decisions and AI outputs. Model 3 evidence can be reformatted into the agent schema for cross-model consistency, but its raw form is the gold standard because no intermediary touched it. All three models satisfy the same governance principles and produce auditable evidence, but the evidence is not identical in format or provenance.</w:t>
      </w:r>
    </w:p>
    <w:p w:rsidR="003472A0" w:rsidRDefault="00CC3482">
      <w:pPr>
        <w:spacing w:after="160" w:line="276" w:lineRule="auto"/>
      </w:pPr>
      <w:r>
        <w:t xml:space="preserve">The audit file is the product. Everything else is plumbing. A portable, structured text file captures six record types for every transaction: Request, Dispatch, Response, </w:t>
        <w:lastRenderedPageBreak/>
        <w:t>Navigation, Arbitration, and Decision. The file is platform-independent, self-documenting, and queryable by any AI.</w:t>
      </w:r>
    </w:p>
    <w:p w:rsidR="003472A0" w:rsidRDefault="00CC3482">
      <w:pPr>
        <w:spacing w:after="160" w:line="276" w:lineRule="auto"/>
      </w:pPr>
      <w:r>
        <w:t>This document serves dual purposes: the technical specification for building the agent and the core architectural component of a broader governance documentation package. The architecture is designed to work toward compliance with the EU AI Act (including Articles 11, 12, 13, 14, and 15), ISO/IEC 42001 for AI management systems, ISO/IEC 27001 for information security management, NIST AI Risk Management Framework for risk governance, NIST Cybersecurity Framework for security posture, and applicable sector-specific requirements such as DORA for financial services resilience and NYDFS 23 NYCRR 500 for cybersecurity governance. This specification provides the architectural controls. Operational artifacts including testing results, monitoring plans, incident response playbooks, and provider due diligence documentation accompany this specification as part of the complete governance package.</w:t>
      </w:r>
    </w:p>
    <w:p w:rsidR="003472A0" w:rsidRDefault="003472A0"/>
    <w:p w:rsidR="003472A0" w:rsidRDefault="00CC3482">
      <w:pPr>
        <w:pStyle w:val="Heading1"/>
        <w:keepNext/>
        <w:keepLines/>
      </w:pPr>
      <w:bookmarkStart w:id="4" w:name="_Toc220973588"/>
      <w:r>
        <w:t>1. System Architecture Overview</w:t>
      </w:r>
      <w:bookmarkEnd w:id="4"/>
    </w:p>
    <w:p w:rsidR="003472A0" w:rsidRDefault="00CC3482">
      <w:pPr>
        <w:pStyle w:val="Heading2"/>
        <w:keepNext/>
        <w:keepLines/>
      </w:pPr>
      <w:bookmarkStart w:id="5" w:name="_Toc220973589"/>
      <w:r>
        <w:t>1.1 Two-Layer Model</w:t>
      </w:r>
      <w:bookmarkEnd w:id="5"/>
    </w:p>
    <w:p w:rsidR="003472A0" w:rsidRDefault="00CC3482">
      <w:pPr>
        <w:spacing w:after="160" w:line="276" w:lineRule="auto"/>
      </w:pPr>
      <w:r>
        <w:t>The HAIA-RECCLIN architecture separates AI execution from human governance through two distinct layers connected by a mechanical orchestration agent.</w:t>
      </w:r>
    </w:p>
    <w:p w:rsidR="003472A0" w:rsidRDefault="00CC3482">
      <w:pPr>
        <w:spacing w:after="160" w:line="276" w:lineRule="auto"/>
      </w:pPr>
      <w:r>
        <w:rPr>
          <w:b/>
          <w:bCs/>
        </w:rPr>
        <w:t xml:space="preserve">AI Execution Layer. </w:t>
      </w:r>
      <w:r>
        <w:t>Multiple independent AI platforms perform cognitive work across seven RECCLIN functional roles. Each task dispatches to three platforms: one designated anchor platform for that role plus two platforms selected from a rotation schedule. Platform outputs are independent; no platform sees another platform's response. All outputs route to Claude (Anthropic) as the permanent Navigator for synthesis, conflict identification, and governance output structuring.</w:t>
      </w:r>
    </w:p>
    <w:p w:rsidR="003472A0" w:rsidRDefault="00CC3482">
      <w:pPr>
        <w:spacing w:after="160" w:line="276" w:lineRule="auto"/>
      </w:pPr>
      <w:r>
        <w:rPr>
          <w:b/>
          <w:bCs/>
        </w:rPr>
        <w:t xml:space="preserve">Human Governance Layer. </w:t>
      </w:r>
      <w:r>
        <w:t>The human exercises Checkpoint-Based Governance (CBG) v4.2.1 authority at defined pause points. CBG implements a four-stage decision loop: AI contribution provides analytical support, checkpoint evaluation structures review, human arbitration retains final authority, and decision logging creates immutable accountability trails. The core governance ruleset: no AI system may finalize or approve another AI system's decision without human arbitration.</w:t>
      </w:r>
    </w:p>
    <w:p w:rsidR="003472A0" w:rsidRDefault="00CC3482">
      <w:pPr>
        <w:spacing w:after="160" w:line="276" w:lineRule="auto"/>
      </w:pPr>
      <w:r>
        <w:rPr>
          <w:b/>
          <w:bCs/>
        </w:rPr>
        <w:t xml:space="preserve">Agent Orchestration. </w:t>
      </w:r>
      <w:r>
        <w:t xml:space="preserve">The agent connects these layers mechanically. It receives tasks from the human, identifies RECCLIN role requirements, selects platforms per the anchor-plus-rotation protocol, dispatches identical prompts, collects responses, routes to Claude for Navigator synthesis, delivers structured governance output to the human (or pauses for checkpoint depending on operating model), and writes all six record </w:t>
        <w:lastRenderedPageBreak/>
        <w:t>types to the append-only audit file. The agent is a traffic controller. It performs zero cognitive work.</w:t>
      </w:r>
    </w:p>
    <w:p w:rsidR="003472A0" w:rsidRDefault="00CC3482">
      <w:pPr>
        <w:pStyle w:val="Heading2"/>
        <w:keepNext/>
        <w:keepLines/>
      </w:pPr>
      <w:bookmarkStart w:id="6" w:name="_Toc220973590"/>
      <w:r>
        <w:t>1.2 Design Principle: Record-Keeping First</w:t>
      </w:r>
      <w:bookmarkEnd w:id="6"/>
    </w:p>
    <w:p w:rsidR="003472A0" w:rsidRDefault="00CC3482">
      <w:pPr>
        <w:spacing w:after="160" w:line="276" w:lineRule="auto"/>
      </w:pPr>
      <w:r>
        <w:t>The agent is not a routing system that also logs. It is a logging system that also routes. The audit trail is the product. Routing and synthesis are secondary functions that feed into the record.</w:t>
      </w:r>
    </w:p>
    <w:p w:rsidR="003472A0" w:rsidRDefault="00CC3482">
      <w:pPr>
        <w:spacing w:after="160" w:line="276" w:lineRule="auto"/>
      </w:pPr>
      <w:r>
        <w:t>This architectural priority ensures that if routing capabilities fail, the human can operate manually and log into the same system. If logging capabilities fail, nothing else matters because the governance claim collapses. This design directly addresses Documentation Degradation (Failure Mode 2.1) identified in the HAIA-RECCLIN Multi-AI Framework Updated for 2026.</w:t>
      </w:r>
    </w:p>
    <w:p w:rsidR="003472A0" w:rsidRDefault="00CC3482">
      <w:pPr>
        <w:pStyle w:val="Heading2"/>
        <w:keepNext/>
        <w:keepLines/>
      </w:pPr>
      <w:bookmarkStart w:id="7" w:name="_Toc220973591"/>
      <w:r>
        <w:t>1.3 Operational Proof of Concept</w:t>
      </w:r>
      <w:bookmarkEnd w:id="7"/>
    </w:p>
    <w:p w:rsidR="003472A0" w:rsidRDefault="00CC3482">
      <w:pPr>
        <w:spacing w:after="160" w:line="276" w:lineRule="auto"/>
      </w:pPr>
      <w:r>
        <w:t>The architecture is validated by the production of the Governing AI: When Capability Exceeds Control manuscript (2025), which achieved 96% checkpoint utilization, 100% dissent documentation, 28 major checkpoint decisions, 26 preserved dissents, and complete audit trails across five independent AI platforms over six weeks. That process operated in what is now designated Model 3 (Manual Human AI Governance). The agent automates the logistics that made that process heroically labor-intensive while preserving the governance principles that made it effective.</w:t>
      </w:r>
    </w:p>
    <w:p w:rsidR="003472A0" w:rsidRDefault="003472A0"/>
    <w:p w:rsidR="003472A0" w:rsidRDefault="00CC3482">
      <w:pPr>
        <w:pStyle w:val="Heading1"/>
        <w:keepNext/>
        <w:keepLines/>
      </w:pPr>
      <w:bookmarkStart w:id="8" w:name="_Toc220973592"/>
      <w:r>
        <w:t>2. Three HAIA Operating Models</w:t>
      </w:r>
      <w:bookmarkEnd w:id="8"/>
    </w:p>
    <w:p w:rsidR="003472A0" w:rsidRDefault="00CC3482">
      <w:pPr>
        <w:spacing w:after="160" w:line="276" w:lineRule="auto"/>
      </w:pPr>
      <w:r>
        <w:t>The HAIA Operating Models define how the system runs. They govern checkpoint density, automation level, and human touchpoints. Model selection is itself a CBG decision, documented in the audit file with risk classification rationale.</w:t>
      </w:r>
    </w:p>
    <w:p w:rsidR="003472A0" w:rsidRDefault="00CC3482">
      <w:pPr>
        <w:spacing w:after="160" w:line="276" w:lineRule="auto"/>
      </w:pPr>
      <w:r>
        <w:t>HAIA Operating Models (1, 2, 3) govern how the system runs. RECCLIN Functional Roles (Researcher, Editor, Coder, Calculator, Liaison, Ideator, Navigator) govern what the system does within any operating model. This specification uses "model" for operating modes and "role" exclusively for RECCLIN functional assignments to eliminate ambiguity.</w:t>
      </w:r>
    </w:p>
    <w:p w:rsidR="003472A0" w:rsidRDefault="00CC3482">
      <w:pPr>
        <w:pStyle w:val="Heading2"/>
        <w:keepNext/>
        <w:keepLines/>
      </w:pPr>
      <w:bookmarkStart w:id="9" w:name="_Toc220973593"/>
      <w:r>
        <w:t>2.1 Model 1: Agent Responsible AI</w:t>
      </w:r>
      <w:bookmarkEnd w:id="9"/>
    </w:p>
    <w:p w:rsidR="003472A0" w:rsidRDefault="00CC3482">
      <w:pPr>
        <w:spacing w:after="160" w:line="276" w:lineRule="auto"/>
      </w:pPr>
      <w:r>
        <w:rPr>
          <w:b/>
          <w:bCs/>
        </w:rPr>
        <w:t xml:space="preserve">Definition. </w:t>
      </w:r>
      <w:r>
        <w:t xml:space="preserve">The agent runs the full RECCLIN pipeline without stopping. All functional roles execute in sequence. Three platforms per role. Navigator synthesis at end. One </w:t>
        <w:lastRenderedPageBreak/>
        <w:t>comprehensive governance package delivered to the human. The human exercises CBG authority once at the final output.</w:t>
      </w:r>
    </w:p>
    <w:p w:rsidR="003472A0" w:rsidRDefault="00CC3482">
      <w:pPr>
        <w:spacing w:after="160" w:line="276" w:lineRule="auto"/>
      </w:pPr>
      <w:r>
        <w:rPr>
          <w:b/>
          <w:bCs/>
        </w:rPr>
        <w:t xml:space="preserve">Checkpoint Configuration. </w:t>
      </w:r>
      <w:r>
        <w:t>All RECCLIN role gates set to continue-to-next-role. Only the final output gate pauses for human arbitration. Minimum human touchpoints during execution.</w:t>
      </w:r>
    </w:p>
    <w:p w:rsidR="003472A0" w:rsidRDefault="00CC3482">
      <w:pPr>
        <w:spacing w:after="160" w:line="276" w:lineRule="auto"/>
      </w:pPr>
      <w:r>
        <w:rPr>
          <w:b/>
          <w:bCs/>
        </w:rPr>
        <w:t xml:space="preserve">Appropriate For. </w:t>
      </w:r>
      <w:r>
        <w:t>Low to moderate risk tasks. Routine operations with established patterns.</w:t>
      </w:r>
    </w:p>
    <w:p w:rsidR="003472A0" w:rsidRDefault="00CC3482">
      <w:pPr>
        <w:spacing w:after="160" w:line="276" w:lineRule="auto"/>
      </w:pPr>
      <w:r>
        <w:rPr>
          <w:b/>
          <w:bCs/>
        </w:rPr>
        <w:t xml:space="preserve">Article 14 Compliance. </w:t>
      </w:r>
      <w:r>
        <w:t>Satisfies minimum human oversight requirement. Human reviews and authorizes final output before any action.</w:t>
      </w:r>
    </w:p>
    <w:p w:rsidR="003472A0" w:rsidRDefault="00CC3482">
      <w:pPr>
        <w:spacing w:after="160" w:line="276" w:lineRule="auto"/>
      </w:pPr>
      <w:r>
        <w:rPr>
          <w:b/>
          <w:bCs/>
        </w:rPr>
        <w:t xml:space="preserve">Natural Checkpoint at Endpoint. </w:t>
      </w:r>
      <w:r>
        <w:t>The natural checkpoint at the Model 1 endpoint is an informal safety valve, not a formal governance control. It reflects the observable reality that humans receiving poor output frequently reject it through normal professional behavior. However, this behavior is subject to known reliability limits including automation bias, cognitive load, expertise asymmetry, and volume pressure. Research on human oversight of automated decision-making systems, including the EU European Data Protection Supervisor TechDispatch #2/2025, documents that humans holding ultimate authority over automated outputs routinely defer to machine recommendations, particularly under high-volume conditions. The formal governance mechanism for Model 1 is therefore the CBG v4.2.1 automation bias detection threshold: if approval rates exceed 95% or decision reversals drop below 2% for three consecutive cycles, mandatory audit begins within five business days. This threshold converts the informal observation into a measurable governance signal. Persistent threshold violations trigger escalation from Model 1 to Model 2, shifting the work from factory quality (Responsible AI) to handmade quality (AI Governance) until the monitoring signal recovers. The natural checkpoint remains in the architecture as a descriptive observation of endpoint human behavior, not as a claimed governance layer. The CBG trigger is the control. The escalation path is the governance.</w:t>
      </w:r>
    </w:p>
    <w:p w:rsidR="003472A0" w:rsidRDefault="00CC3482">
      <w:pPr>
        <w:spacing w:after="160" w:line="276" w:lineRule="auto"/>
      </w:pPr>
      <w:r>
        <w:rPr>
          <w:b/>
          <w:bCs/>
        </w:rPr>
        <w:t xml:space="preserve">Logging Profile. </w:t>
      </w:r>
      <w:r>
        <w:t>Agent logs automatically. Human obligation: zero logging work.</w:t>
      </w:r>
    </w:p>
    <w:p w:rsidR="003472A0" w:rsidRDefault="00CC3482">
      <w:pPr>
        <w:pStyle w:val="Heading2"/>
        <w:keepNext/>
        <w:keepLines/>
      </w:pPr>
      <w:bookmarkStart w:id="10" w:name="_Toc220973594"/>
      <w:r>
        <w:t>2.2 Model 2: Agent AI Governance</w:t>
      </w:r>
      <w:bookmarkEnd w:id="10"/>
    </w:p>
    <w:p w:rsidR="003472A0" w:rsidRDefault="00CC3482">
      <w:pPr>
        <w:spacing w:after="160" w:line="276" w:lineRule="auto"/>
      </w:pPr>
      <w:r>
        <w:rPr>
          <w:b/>
          <w:bCs/>
        </w:rPr>
        <w:t xml:space="preserve">Definition. </w:t>
      </w:r>
      <w:r>
        <w:t>The agent handles dispatch, collection, and routing. The agent pauses after each RECCLIN functional role, presenting three-platform output plus dissent documentation to the human. The human reviews and approves before the next role begins. If a task uses five roles, the human receives five separate CBG checkpoints.</w:t>
      </w:r>
    </w:p>
    <w:p w:rsidR="003472A0" w:rsidRDefault="00CC3482">
      <w:pPr>
        <w:spacing w:after="160" w:line="276" w:lineRule="auto"/>
      </w:pPr>
      <w:r>
        <w:rPr>
          <w:b/>
          <w:bCs/>
        </w:rPr>
        <w:t xml:space="preserve">Checkpoint Configuration. </w:t>
      </w:r>
      <w:r>
        <w:t>All RECCLIN role gates set to pause-for-human. Maximum governance granularity with agent logistics.</w:t>
      </w:r>
    </w:p>
    <w:p w:rsidR="003472A0" w:rsidRDefault="00CC3482">
      <w:pPr>
        <w:spacing w:after="160" w:line="276" w:lineRule="auto"/>
      </w:pPr>
      <w:r>
        <w:rPr>
          <w:b/>
          <w:bCs/>
        </w:rPr>
        <w:lastRenderedPageBreak/>
        <w:t xml:space="preserve">Appropriate For. </w:t>
      </w:r>
      <w:r>
        <w:t>High-risk applications. Employment, credit, education, and law enforcement decision-support. Enterprise compliance environments.</w:t>
      </w:r>
    </w:p>
    <w:p w:rsidR="003472A0" w:rsidRDefault="00CC3482">
      <w:pPr>
        <w:spacing w:after="160" w:line="276" w:lineRule="auto"/>
      </w:pPr>
      <w:r>
        <w:rPr>
          <w:b/>
          <w:bCs/>
        </w:rPr>
        <w:t xml:space="preserve">Article 14 Compliance. </w:t>
      </w:r>
      <w:r>
        <w:t>Exceeds requirement. Human reviews and authorizes at every processing stage. Audit file proves human-in-the-loop at five or more decision points with documented rationale.</w:t>
      </w:r>
    </w:p>
    <w:p w:rsidR="003472A0" w:rsidRDefault="00CC3482">
      <w:pPr>
        <w:spacing w:after="160" w:line="276" w:lineRule="auto"/>
      </w:pPr>
      <w:r>
        <w:rPr>
          <w:b/>
          <w:bCs/>
        </w:rPr>
        <w:t xml:space="preserve">Automation Bias Detection. </w:t>
      </w:r>
      <w:r>
        <w:t>Operates faster in Model 2. With five checkpoints per task, the system flags potential automation bias sooner if the human approves everything without modification.</w:t>
      </w:r>
    </w:p>
    <w:p w:rsidR="003472A0" w:rsidRDefault="00CC3482">
      <w:pPr>
        <w:spacing w:after="160" w:line="276" w:lineRule="auto"/>
      </w:pPr>
      <w:r>
        <w:rPr>
          <w:b/>
          <w:bCs/>
        </w:rPr>
        <w:t xml:space="preserve">Logging Profile. </w:t>
      </w:r>
      <w:r>
        <w:t>Agent logs automatically including per-role arbitration records. Human obligation: zero logging work.</w:t>
      </w:r>
    </w:p>
    <w:p w:rsidR="003472A0" w:rsidRDefault="00CC3482">
      <w:pPr>
        <w:pStyle w:val="Heading2"/>
        <w:keepNext/>
        <w:keepLines/>
      </w:pPr>
      <w:bookmarkStart w:id="11" w:name="_Toc220973595"/>
      <w:r>
        <w:t>2.3 Model 3: Manual Human AI Governance</w:t>
      </w:r>
      <w:bookmarkEnd w:id="11"/>
    </w:p>
    <w:p w:rsidR="003472A0" w:rsidRDefault="00CC3482">
      <w:pPr>
        <w:spacing w:after="160" w:line="276" w:lineRule="auto"/>
      </w:pPr>
      <w:r>
        <w:rPr>
          <w:b/>
          <w:bCs/>
        </w:rPr>
        <w:t xml:space="preserve">Definition. </w:t>
      </w:r>
      <w:r>
        <w:t>No agent. The human performs all orchestration: opens multiple AI platforms, types prompts, copies outputs, pastes to Claude (Navigator), makes arbitration decisions, moves to next role. This produced the Governing AI manuscript.</w:t>
      </w:r>
    </w:p>
    <w:p w:rsidR="003472A0" w:rsidRDefault="00CC3482">
      <w:pPr>
        <w:spacing w:after="160" w:line="276" w:lineRule="auto"/>
      </w:pPr>
      <w:r>
        <w:rPr>
          <w:b/>
          <w:bCs/>
        </w:rPr>
        <w:t xml:space="preserve">Appropriate For. </w:t>
      </w:r>
      <w:r>
        <w:t>Highest-consequence decisions. Novel situations without precedent. Framework development and validation work. The baseline that proves governance works before automation.</w:t>
      </w:r>
    </w:p>
    <w:p w:rsidR="003472A0" w:rsidRDefault="00CC3482">
      <w:pPr>
        <w:spacing w:after="160" w:line="276" w:lineRule="auto"/>
      </w:pPr>
      <w:r>
        <w:rPr>
          <w:b/>
          <w:bCs/>
        </w:rPr>
        <w:t xml:space="preserve">Logging Profile. </w:t>
      </w:r>
      <w:r>
        <w:t>The act of working is the act of logging. Every prompt typed into Perplexity is logged by Perplexity. Every output pasted into Claude is logged by Claude. There is no separate logging task during execution. The human obligation is one task at one time: when the project ends, collect the logs from each platform and retain them. This is a retention task, not a documentation task. Platform conversation histories exist automatically through the work and a real-time purge is unlikely, but the automatically created logs can be manually saved at any chosen interval: monthly, weekly, or daily for projects in progress. The interval is a governance decision proportional to project risk and duration. This guards against platform retention policy changes without creating ongoing documentation burden during execution.</w:t>
      </w:r>
    </w:p>
    <w:p w:rsidR="003472A0" w:rsidRDefault="00CC3482">
      <w:pPr>
        <w:spacing w:after="160" w:line="276" w:lineRule="auto"/>
      </w:pPr>
      <w:r>
        <w:rPr>
          <w:b/>
          <w:bCs/>
        </w:rPr>
        <w:t xml:space="preserve">Log Consolidation Protocol. </w:t>
      </w:r>
      <w:r>
        <w:t>When a Model 3 project ends, the human exports each platform’s conversation history for the project. Each exported file is hashed (SHA-256) and the hash is recorded in a master index alongside the platform name, export date, file size, and project identifier. The master index with hashes creates a verifiable chain of custody for raw evidence: any subsequent modification to an exported file produces a hash mismatch against the index. This protocol ensures that Model 3 evidence, though manually collected, meets the same integrity standard as agent-formatted audit records. The master index is the Model 3 equivalent of the agent’s append-only audit trail.</w:t>
      </w:r>
    </w:p>
    <w:p w:rsidR="003472A0" w:rsidRDefault="00CC3482">
      <w:pPr>
        <w:spacing w:after="160" w:line="276" w:lineRule="auto"/>
      </w:pPr>
      <w:r>
        <w:rPr>
          <w:b/>
          <w:bCs/>
        </w:rPr>
        <w:t xml:space="preserve">Article 12 Compliance. </w:t>
      </w:r>
      <w:r>
        <w:t>Claude as Navigator automatically records every governance interaction. All source platforms maintain conversation histories. Automatic logging is satisfied by the platforms. The gap is consolidation, not creation. The human assembles distributed platform records into a unified archive at project completion.</w:t>
      </w:r>
    </w:p>
    <w:p w:rsidR="003472A0" w:rsidRDefault="00CC3482">
      <w:pPr>
        <w:spacing w:after="160" w:line="276" w:lineRule="auto"/>
      </w:pPr>
      <w:r>
        <w:rPr>
          <w:b/>
          <w:bCs/>
        </w:rPr>
        <w:t xml:space="preserve">Evidence Redundancy. </w:t>
      </w:r>
      <w:r>
        <w:t xml:space="preserve">Model 3 produces the highest quality audit evidence in the architecture. Each platform's conversation history is an independent, unmediated record of exactly what was asked and exactly what was returned. No agent formatting layer stands between the raw interaction and the evidence. Auditors can verify the </w:t>
        <w:lastRenderedPageBreak/>
        <w:t>consolidated file against platform originals because both exist independently. In Models 1 and 2, the agent formats and categorizes evidence into a consistent schema, which aids machine readability and cross-project comparison. In Model 3, the raw data preserves every nuance of the human-AI interaction without schema-imposed abstraction. Model 3 evidence can be reformatted into the agent's audit schema after the fact for cross-model consistency, but this reformatting should be documented as a post-hoc transformation, not treated as equivalent to evidence that was agent-formatted at creation.</w:t>
      </w:r>
    </w:p>
    <w:p w:rsidR="003472A0" w:rsidRDefault="00CC3482">
      <w:pPr>
        <w:pStyle w:val="Heading2"/>
        <w:keepNext/>
        <w:keepLines/>
      </w:pPr>
      <w:bookmarkStart w:id="12" w:name="_Toc220973596"/>
      <w:r>
        <w:t>2.4 Role Selection as Governance Decision</w:t>
      </w:r>
      <w:bookmarkEnd w:id="12"/>
    </w:p>
    <w:p w:rsidR="003472A0" w:rsidRDefault="00CC3482">
      <w:pPr>
        <w:spacing w:after="160" w:line="276" w:lineRule="auto"/>
      </w:pPr>
      <w:r>
        <w:t>The choice between operating models maps to risk-proportional checkpoint density (CBG v4.2.1). Selection is documented in the audit file: "Task X assigned Model 2 due to [risk classification]. Arbiter: [human identity]. Timestamp: [ISO 8601]."</w:t>
      </w:r>
    </w:p>
    <w:p w:rsidR="003472A0" w:rsidRDefault="00CC3482">
      <w:pPr>
        <w:spacing w:after="160" w:line="276" w:lineRule="auto"/>
      </w:pPr>
      <w:r>
        <w:t>Implementation: Each RECCLIN functional role has a checkpoint gate with two states: pause-for-human or continue-to-next-role. Model 1 sets all gates to continue except the final output. Model 2 sets all gates to pause. One boolean per RECCLIN functional role.</w:t>
      </w:r>
    </w:p>
    <w:p w:rsidR="003472A0" w:rsidRDefault="00CC3482">
      <w:pPr>
        <w:pStyle w:val="Heading2"/>
        <w:keepNext/>
        <w:keepLines/>
      </w:pPr>
      <w:bookmarkStart w:id="13" w:name="_Toc220973597"/>
      <w:r>
        <w:t>2.5 Operating Role Comparison</w:t>
      </w:r>
      <w:bookmarkEnd w:id="13"/>
    </w:p>
    <w:tbl>
      <w:tblPr>
        <w:tblW w:w="5000" w:type="pc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400"/>
      </w:tblGrid>
      <w:tr w:rsidR="003472A0">
        <w:tblPrEx>
          <w:tblCellMar>
            <w:top w:w="0" w:type="dxa"/>
            <w:bottom w:w="0" w:type="dxa"/>
          </w:tblCellMar>
        </w:tblPrEx>
        <w:trPr>
          <w:cantSplit/>
        </w:trPr>
        <w:tc>
          <w:tcPr>
            <w:tcW w:w="234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20"/>
                <w:szCs w:val="20"/>
              </w:rPr>
              <w:t>Attribute</w:t>
            </w:r>
          </w:p>
        </w:tc>
        <w:tc>
          <w:tcPr>
            <w:tcW w:w="234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20"/>
                <w:szCs w:val="20"/>
              </w:rPr>
              <w:t>Model 1: Agent Responsible AI</w:t>
            </w:r>
          </w:p>
        </w:tc>
        <w:tc>
          <w:tcPr>
            <w:tcW w:w="234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20"/>
                <w:szCs w:val="20"/>
              </w:rPr>
              <w:t>Model 2: Agent AI Governance</w:t>
            </w:r>
          </w:p>
        </w:tc>
        <w:tc>
          <w:tcPr>
            <w:tcW w:w="234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20"/>
                <w:szCs w:val="20"/>
              </w:rPr>
              <w:t>Model 3: Manual Human AI Governance</w:t>
            </w:r>
          </w:p>
        </w:tc>
      </w:tr>
      <w:tr w:rsidR="003472A0">
        <w:tblPrEx>
          <w:tblCellMar>
            <w:top w:w="0" w:type="dxa"/>
            <w:bottom w:w="0" w:type="dxa"/>
          </w:tblCellMar>
        </w:tblPrEx>
        <w:trPr>
          <w:cantSplit/>
        </w:trPr>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b/>
                <w:bCs/>
                <w:sz w:val="20"/>
                <w:szCs w:val="20"/>
              </w:rPr>
              <w:t>Automation</w:t>
            </w:r>
          </w:p>
        </w:tc>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Full pipeline</w:t>
            </w:r>
          </w:p>
        </w:tc>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Agent logistics, human checkpoints</w:t>
            </w:r>
          </w:p>
        </w:tc>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Full human orchestration</w:t>
            </w:r>
          </w:p>
        </w:tc>
      </w:tr>
      <w:tr w:rsidR="003472A0">
        <w:tblPrEx>
          <w:tblCellMar>
            <w:top w:w="0" w:type="dxa"/>
            <w:bottom w:w="0" w:type="dxa"/>
          </w:tblCellMar>
        </w:tblPrEx>
        <w:trPr>
          <w:cantSplit/>
        </w:trPr>
        <w:tc>
          <w:tcPr>
            <w:tcW w:w="23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b/>
                <w:bCs/>
                <w:sz w:val="20"/>
                <w:szCs w:val="20"/>
              </w:rPr>
              <w:t>Checkpoints</w:t>
            </w:r>
          </w:p>
        </w:tc>
        <w:tc>
          <w:tcPr>
            <w:tcW w:w="23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1 (final output)</w:t>
            </w:r>
          </w:p>
        </w:tc>
        <w:tc>
          <w:tcPr>
            <w:tcW w:w="23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1 per RECCLIN role</w:t>
            </w:r>
          </w:p>
        </w:tc>
        <w:tc>
          <w:tcPr>
            <w:tcW w:w="23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Every interaction</w:t>
            </w:r>
          </w:p>
        </w:tc>
      </w:tr>
      <w:tr w:rsidR="003472A0">
        <w:tblPrEx>
          <w:tblCellMar>
            <w:top w:w="0" w:type="dxa"/>
            <w:bottom w:w="0" w:type="dxa"/>
          </w:tblCellMar>
        </w:tblPrEx>
        <w:trPr>
          <w:cantSplit/>
        </w:trPr>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b/>
                <w:bCs/>
                <w:sz w:val="20"/>
                <w:szCs w:val="20"/>
              </w:rPr>
              <w:t>Logging</w:t>
            </w:r>
          </w:p>
        </w:tc>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Zero (agent auto)</w:t>
            </w:r>
          </w:p>
        </w:tc>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Zero (agent auto)</w:t>
            </w:r>
          </w:p>
        </w:tc>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End-of-project collection</w:t>
            </w:r>
          </w:p>
        </w:tc>
      </w:tr>
      <w:tr w:rsidR="003472A0">
        <w:tblPrEx>
          <w:tblCellMar>
            <w:top w:w="0" w:type="dxa"/>
            <w:bottom w:w="0" w:type="dxa"/>
          </w:tblCellMar>
        </w:tblPrEx>
        <w:trPr>
          <w:cantSplit/>
        </w:trPr>
        <w:tc>
          <w:tcPr>
            <w:tcW w:w="23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b/>
                <w:bCs/>
                <w:sz w:val="20"/>
                <w:szCs w:val="20"/>
              </w:rPr>
              <w:t>Risk Profile</w:t>
            </w:r>
          </w:p>
        </w:tc>
        <w:tc>
          <w:tcPr>
            <w:tcW w:w="23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Low to moderate</w:t>
            </w:r>
          </w:p>
        </w:tc>
        <w:tc>
          <w:tcPr>
            <w:tcW w:w="23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High</w:t>
            </w:r>
          </w:p>
        </w:tc>
        <w:tc>
          <w:tcPr>
            <w:tcW w:w="23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Highest consequence</w:t>
            </w:r>
          </w:p>
        </w:tc>
      </w:tr>
      <w:tr w:rsidR="003472A0">
        <w:tblPrEx>
          <w:tblCellMar>
            <w:top w:w="0" w:type="dxa"/>
            <w:bottom w:w="0" w:type="dxa"/>
          </w:tblCellMar>
        </w:tblPrEx>
        <w:trPr>
          <w:cantSplit/>
        </w:trPr>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b/>
                <w:bCs/>
                <w:sz w:val="20"/>
                <w:szCs w:val="20"/>
              </w:rPr>
              <w:t>Art. 14</w:t>
            </w:r>
          </w:p>
        </w:tc>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Minimum satisfied</w:t>
            </w:r>
          </w:p>
        </w:tc>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Exceeds requirement</w:t>
            </w:r>
          </w:p>
        </w:tc>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Maximum oversight</w:t>
            </w:r>
          </w:p>
        </w:tc>
      </w:tr>
      <w:tr w:rsidR="003472A0">
        <w:tblPrEx>
          <w:tblCellMar>
            <w:top w:w="0" w:type="dxa"/>
            <w:bottom w:w="0" w:type="dxa"/>
          </w:tblCellMar>
        </w:tblPrEx>
        <w:trPr>
          <w:cantSplit/>
        </w:trPr>
        <w:tc>
          <w:tcPr>
            <w:tcW w:w="23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b/>
                <w:bCs/>
                <w:sz w:val="20"/>
                <w:szCs w:val="20"/>
              </w:rPr>
              <w:t>Art. 12</w:t>
            </w:r>
          </w:p>
        </w:tc>
        <w:tc>
          <w:tcPr>
            <w:tcW w:w="23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Full (agent)</w:t>
            </w:r>
          </w:p>
        </w:tc>
        <w:tc>
          <w:tcPr>
            <w:tcW w:w="23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Full (agent)</w:t>
            </w:r>
          </w:p>
        </w:tc>
        <w:tc>
          <w:tcPr>
            <w:tcW w:w="23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Full (platform logging)</w:t>
            </w:r>
          </w:p>
        </w:tc>
      </w:tr>
      <w:tr w:rsidR="003472A0">
        <w:tblPrEx>
          <w:tblCellMar>
            <w:top w:w="0" w:type="dxa"/>
            <w:bottom w:w="0" w:type="dxa"/>
          </w:tblCellMar>
        </w:tblPrEx>
        <w:trPr>
          <w:cantSplit/>
        </w:trPr>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b/>
                <w:bCs/>
                <w:sz w:val="20"/>
                <w:szCs w:val="20"/>
              </w:rPr>
              <w:t>Status</w:t>
            </w:r>
          </w:p>
        </w:tc>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Requires agent build</w:t>
            </w:r>
          </w:p>
        </w:tc>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Requires agent build</w:t>
            </w:r>
          </w:p>
        </w:tc>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Deployment ready today</w:t>
            </w:r>
          </w:p>
        </w:tc>
      </w:tr>
    </w:tbl>
    <w:p w:rsidR="003472A0" w:rsidRDefault="003472A0"/>
    <w:p w:rsidR="003472A0" w:rsidRDefault="00CC3482">
      <w:pPr>
        <w:pStyle w:val="Heading1"/>
        <w:keepNext/>
        <w:keepLines/>
      </w:pPr>
      <w:bookmarkStart w:id="14" w:name="_Toc220973598"/>
      <w:r>
        <w:t>3. RECCLIN Functional Roles</w:t>
      </w:r>
      <w:bookmarkEnd w:id="14"/>
    </w:p>
    <w:p w:rsidR="003472A0" w:rsidRDefault="00CC3482">
      <w:pPr>
        <w:spacing w:after="160" w:line="276" w:lineRule="auto"/>
      </w:pPr>
      <w:r>
        <w:t>The RECCLIN Role Matrix defines seven operational functions within any HAIA Operating Role. Each role operates within a defined domain of authority. The framework prevents role dominance by requiring equal checkpoint authority.</w:t>
      </w:r>
    </w:p>
    <w:tbl>
      <w:tblPr>
        <w:tblW w:w="5000" w:type="pc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2400"/>
        <w:gridCol w:w="2400"/>
      </w:tblGrid>
      <w:tr w:rsidR="003472A0">
        <w:tblPrEx>
          <w:tblCellMar>
            <w:top w:w="0" w:type="dxa"/>
            <w:bottom w:w="0" w:type="dxa"/>
          </w:tblCellMar>
        </w:tblPrEx>
        <w:trPr>
          <w:cantSplit/>
        </w:trPr>
        <w:tc>
          <w:tcPr>
            <w:tcW w:w="156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20"/>
                <w:szCs w:val="20"/>
              </w:rPr>
              <w:lastRenderedPageBreak/>
              <w:t>Role</w:t>
            </w:r>
          </w:p>
        </w:tc>
        <w:tc>
          <w:tcPr>
            <w:tcW w:w="312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20"/>
                <w:szCs w:val="20"/>
              </w:rPr>
              <w:t>Function</w:t>
            </w:r>
          </w:p>
        </w:tc>
        <w:tc>
          <w:tcPr>
            <w:tcW w:w="234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20"/>
                <w:szCs w:val="20"/>
              </w:rPr>
              <w:t>Risk Mitigated</w:t>
            </w:r>
          </w:p>
        </w:tc>
        <w:tc>
          <w:tcPr>
            <w:tcW w:w="234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20"/>
                <w:szCs w:val="20"/>
              </w:rPr>
              <w:t>Anchor Platform</w:t>
            </w:r>
          </w:p>
        </w:tc>
      </w:tr>
      <w:tr w:rsidR="003472A0">
        <w:tblPrEx>
          <w:tblCellMar>
            <w:top w:w="0" w:type="dxa"/>
            <w:bottom w:w="0" w:type="dxa"/>
          </w:tblCellMar>
        </w:tblPrEx>
        <w:trPr>
          <w:cantSplit/>
        </w:trPr>
        <w:tc>
          <w:tcPr>
            <w:tcW w:w="15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b/>
                <w:bCs/>
                <w:sz w:val="20"/>
                <w:szCs w:val="20"/>
              </w:rPr>
              <w:t>Researcher</w:t>
            </w:r>
          </w:p>
        </w:tc>
        <w:tc>
          <w:tcPr>
            <w:tcW w:w="312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Sources verified data and primary evidence with citations</w:t>
            </w:r>
          </w:p>
        </w:tc>
        <w:tc>
          <w:tcPr>
            <w:tcW w:w="23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Information bias</w:t>
            </w:r>
          </w:p>
        </w:tc>
        <w:tc>
          <w:tcPr>
            <w:tcW w:w="23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Perplexity</w:t>
            </w:r>
          </w:p>
        </w:tc>
      </w:tr>
      <w:tr w:rsidR="003472A0">
        <w:tblPrEx>
          <w:tblCellMar>
            <w:top w:w="0" w:type="dxa"/>
            <w:bottom w:w="0" w:type="dxa"/>
          </w:tblCellMar>
        </w:tblPrEx>
        <w:trPr>
          <w:cantSplit/>
        </w:trPr>
        <w:tc>
          <w:tcPr>
            <w:tcW w:w="156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b/>
                <w:bCs/>
                <w:sz w:val="20"/>
                <w:szCs w:val="20"/>
              </w:rPr>
              <w:t>Editor</w:t>
            </w:r>
          </w:p>
        </w:tc>
        <w:tc>
          <w:tcPr>
            <w:tcW w:w="312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Shapes clarity, coherence, and audience adaptation</w:t>
            </w:r>
          </w:p>
        </w:tc>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Inconsistent messaging</w:t>
            </w:r>
          </w:p>
        </w:tc>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Strongest prose platform</w:t>
            </w:r>
          </w:p>
        </w:tc>
      </w:tr>
      <w:tr w:rsidR="003472A0">
        <w:tblPrEx>
          <w:tblCellMar>
            <w:top w:w="0" w:type="dxa"/>
            <w:bottom w:w="0" w:type="dxa"/>
          </w:tblCellMar>
        </w:tblPrEx>
        <w:trPr>
          <w:cantSplit/>
        </w:trPr>
        <w:tc>
          <w:tcPr>
            <w:tcW w:w="15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b/>
                <w:bCs/>
                <w:sz w:val="20"/>
                <w:szCs w:val="20"/>
              </w:rPr>
              <w:t>Coder</w:t>
            </w:r>
          </w:p>
        </w:tc>
        <w:tc>
          <w:tcPr>
            <w:tcW w:w="312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Translates ideas into executable technical structure</w:t>
            </w:r>
          </w:p>
        </w:tc>
        <w:tc>
          <w:tcPr>
            <w:tcW w:w="23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Technical inconsistency</w:t>
            </w:r>
          </w:p>
        </w:tc>
        <w:tc>
          <w:tcPr>
            <w:tcW w:w="23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Strongest code platform</w:t>
            </w:r>
          </w:p>
        </w:tc>
      </w:tr>
      <w:tr w:rsidR="003472A0">
        <w:tblPrEx>
          <w:tblCellMar>
            <w:top w:w="0" w:type="dxa"/>
            <w:bottom w:w="0" w:type="dxa"/>
          </w:tblCellMar>
        </w:tblPrEx>
        <w:trPr>
          <w:cantSplit/>
        </w:trPr>
        <w:tc>
          <w:tcPr>
            <w:tcW w:w="156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b/>
                <w:bCs/>
                <w:sz w:val="20"/>
                <w:szCs w:val="20"/>
              </w:rPr>
              <w:t>Calculator</w:t>
            </w:r>
          </w:p>
        </w:tc>
        <w:tc>
          <w:tcPr>
            <w:tcW w:w="312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Validates quantitative accuracy and data processing</w:t>
            </w:r>
          </w:p>
        </w:tc>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Mathematical error</w:t>
            </w:r>
          </w:p>
        </w:tc>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Strongest quant platform</w:t>
            </w:r>
          </w:p>
        </w:tc>
      </w:tr>
      <w:tr w:rsidR="003472A0">
        <w:tblPrEx>
          <w:tblCellMar>
            <w:top w:w="0" w:type="dxa"/>
            <w:bottom w:w="0" w:type="dxa"/>
          </w:tblCellMar>
        </w:tblPrEx>
        <w:trPr>
          <w:cantSplit/>
        </w:trPr>
        <w:tc>
          <w:tcPr>
            <w:tcW w:w="15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b/>
                <w:bCs/>
                <w:sz w:val="20"/>
                <w:szCs w:val="20"/>
              </w:rPr>
              <w:t>Liaison</w:t>
            </w:r>
          </w:p>
        </w:tc>
        <w:tc>
          <w:tcPr>
            <w:tcW w:w="312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Connects AI output to human context and stakeholders</w:t>
            </w:r>
          </w:p>
        </w:tc>
        <w:tc>
          <w:tcPr>
            <w:tcW w:w="23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Miscommunication</w:t>
            </w:r>
          </w:p>
        </w:tc>
        <w:tc>
          <w:tcPr>
            <w:tcW w:w="23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Per-stakeholder context</w:t>
            </w:r>
          </w:p>
        </w:tc>
      </w:tr>
      <w:tr w:rsidR="003472A0">
        <w:tblPrEx>
          <w:tblCellMar>
            <w:top w:w="0" w:type="dxa"/>
            <w:bottom w:w="0" w:type="dxa"/>
          </w:tblCellMar>
        </w:tblPrEx>
        <w:trPr>
          <w:cantSplit/>
        </w:trPr>
        <w:tc>
          <w:tcPr>
            <w:tcW w:w="156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b/>
                <w:bCs/>
                <w:sz w:val="20"/>
                <w:szCs w:val="20"/>
              </w:rPr>
              <w:t>Ideator</w:t>
            </w:r>
          </w:p>
        </w:tc>
        <w:tc>
          <w:tcPr>
            <w:tcW w:w="312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Generates creative alternatives and novel approaches</w:t>
            </w:r>
          </w:p>
        </w:tc>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Innovation stagnation</w:t>
            </w:r>
          </w:p>
        </w:tc>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Strongest creative platform</w:t>
            </w:r>
          </w:p>
        </w:tc>
      </w:tr>
      <w:tr w:rsidR="003472A0">
        <w:tblPrEx>
          <w:tblCellMar>
            <w:top w:w="0" w:type="dxa"/>
            <w:bottom w:w="0" w:type="dxa"/>
          </w:tblCellMar>
        </w:tblPrEx>
        <w:trPr>
          <w:cantSplit/>
        </w:trPr>
        <w:tc>
          <w:tcPr>
            <w:tcW w:w="15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b/>
                <w:bCs/>
                <w:sz w:val="20"/>
                <w:szCs w:val="20"/>
              </w:rPr>
              <w:t>Navigator</w:t>
            </w:r>
          </w:p>
        </w:tc>
        <w:tc>
          <w:tcPr>
            <w:tcW w:w="312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Synthesizes outputs, documents dissent, structures governance</w:t>
            </w:r>
          </w:p>
        </w:tc>
        <w:tc>
          <w:tcPr>
            <w:tcW w:w="23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False consensus</w:t>
            </w:r>
          </w:p>
        </w:tc>
        <w:tc>
          <w:tcPr>
            <w:tcW w:w="23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Claude (permanent)</w:t>
            </w:r>
          </w:p>
        </w:tc>
      </w:tr>
    </w:tbl>
    <w:p w:rsidR="003472A0" w:rsidRDefault="003472A0">
      <w:pPr>
        <w:spacing w:after="80"/>
      </w:pPr>
    </w:p>
    <w:p w:rsidR="003472A0" w:rsidRDefault="00CC3482">
      <w:pPr>
        <w:pStyle w:val="Heading2"/>
        <w:keepNext/>
        <w:keepLines/>
      </w:pPr>
      <w:bookmarkStart w:id="15" w:name="_Toc220973599"/>
      <w:r>
        <w:t>3.1 Navigator: Permanent Assignment</w:t>
      </w:r>
      <w:bookmarkEnd w:id="15"/>
    </w:p>
    <w:p w:rsidR="003472A0" w:rsidRDefault="00CC3482">
      <w:pPr>
        <w:spacing w:after="160" w:line="276" w:lineRule="auto"/>
      </w:pPr>
      <w:r>
        <w:t>Claude (Anthropic) serves as the permanent Navigator across all operating models and all tasks. The Navigator is never part of the rotation pool. This ensures synthesis consistency, dissent documentation methodology stability, and governance output format uniformity.</w:t>
      </w:r>
    </w:p>
    <w:p w:rsidR="003472A0" w:rsidRDefault="00CC3482">
      <w:pPr>
        <w:pStyle w:val="Heading2"/>
        <w:keepNext/>
        <w:keepLines/>
      </w:pPr>
      <w:bookmarkStart w:id="16" w:name="_Toc220973600"/>
      <w:r>
        <w:t>3.2 Anchor-Plus-Rotation Protocol</w:t>
      </w:r>
      <w:bookmarkEnd w:id="16"/>
    </w:p>
    <w:p w:rsidR="003472A0" w:rsidRDefault="00CC3482">
      <w:pPr>
        <w:spacing w:after="160" w:line="276" w:lineRule="auto"/>
      </w:pPr>
      <w:r>
        <w:t>For each functional role, the agent selects three platforms: one anchor designated for that role plus two from the remaining rotation pool. The rotation schedule changes with each task to prevent two-platform echo chambers. The pool includes all available commercial AI platforms except Claude: Gemini, ChatGPT, Grok, Perplexity, DeepSeek, Mistral, and Kimi. Platform additions or removals update the pool without affecting the architecture.</w:t>
      </w:r>
    </w:p>
    <w:p w:rsidR="003472A0" w:rsidRDefault="00CC3482">
      <w:pPr>
        <w:pStyle w:val="Heading2"/>
        <w:keepNext/>
        <w:keepLines/>
      </w:pPr>
      <w:bookmarkStart w:id="17" w:name="_Toc220973601"/>
      <w:r>
        <w:t>3.3 Agent Neutrality Principle</w:t>
      </w:r>
      <w:bookmarkEnd w:id="17"/>
    </w:p>
    <w:p w:rsidR="003472A0" w:rsidRDefault="00CC3482">
      <w:pPr>
        <w:spacing w:after="160" w:line="276" w:lineRule="auto"/>
      </w:pPr>
      <w:r>
        <w:t xml:space="preserve">The need to guard against superintelligence risk and concentration of AI authority requires the agent to remain strictly non-cognitive. The agent is a deterministic dispatcher, logger, and router that operates only on declared metadata and fixed routing rules. Every non-mechanical decision (platform rotation pool, rotation schedule, audit file schema, fallback rules, escalation thresholds, prompt templates) is a human-supplied configuration constant. The agent executes these constants. It does not decide </w:t>
        <w:lastRenderedPageBreak/>
        <w:t>them. Any transformation the agent performs on data flowing through it is limited to lossless packaging: formatting prompts for dispatch, collecting responses into structured records, and writing audit entries. The agent never evaluates, weighs, recommends, filters, summarizes, or interprets. All analytical work, including synthesis, dissent preservation, and convergence detection, occurs among the AI platforms through the RECCLIN functional roles and through the Navigator. The agent is architecturally prevented from influencing outputs because it performs no operations on output content. This non-cognitive design serves two distinct security functions. Against AI adversaries, it eliminates the cognitive surface that a superior intelligence would need to manipulate, persuade, or socially engineer the orchestration layer. A superintelligent platform cannot corrupt a system that has no beliefs, preferences, or judgment to corrupt. Against human adversaries (insider threats, external attackers), the non-cognitive design provides no defense. Code can be altered regardless of whether it is cognitive or non-cognitive. Defense against human adversaries is an infrastructure security problem addressed in Section 3.6.</w:t>
      </w:r>
    </w:p>
    <w:p w:rsidR="003472A0" w:rsidRDefault="00CC3482">
      <w:pPr>
        <w:spacing w:after="160" w:line="276" w:lineRule="auto"/>
      </w:pPr>
      <w:r>
        <w:rPr>
          <w:b/>
          <w:bCs/>
        </w:rPr>
        <w:t xml:space="preserve">Formal Cognitive Boundary Definition. </w:t>
      </w:r>
      <w:r>
        <w:t>For the purposes of this specification and all compliance claims derived from it, the cognitive boundary is defined as follows: the orchestrating agent does not evaluate, transform, interpret, rank, filter, or generate semantic content. It packages inputs into structured prompts using human-supplied templates, routes those prompts to platforms selected from a human-supplied rotation constant, collects responses without modification, writes structured audit records, and delivers outputs to the next stage. All semantic work, including synthesis, dissent detection, convergence analysis, and recommendation, occurs in the AI platform layer and the Navigator role. The selection of an anchor platform from the rotation pool is a deterministic operation on a human-configured constant, not a cognitive act, in the same sense that a mail server routing messages to addresses is not reading the letters. This definition anticipates and rejects the argument that any routing system performing platform selection constitutes cognition. The distinction is between executing fixed routing rules (non-cognitive) and evaluating content to determine routing (cognitive). The HAIA-RECCLIN agent does the former exclusively.</w:t>
      </w:r>
    </w:p>
    <w:p w:rsidR="003472A0" w:rsidRDefault="00CC3482">
      <w:pPr>
        <w:pStyle w:val="Heading2"/>
        <w:keepNext/>
        <w:keepLines/>
      </w:pPr>
      <w:bookmarkStart w:id="18" w:name="_Toc220973602"/>
      <w:r>
        <w:t>3.4 Post-Project Navigator Balance Audit</w:t>
      </w:r>
      <w:bookmarkEnd w:id="18"/>
    </w:p>
    <w:p w:rsidR="003472A0" w:rsidRDefault="00CC3482">
      <w:pPr>
        <w:spacing w:after="160" w:line="276" w:lineRule="auto"/>
      </w:pPr>
      <w:r>
        <w:t>Claude serves as permanent Navigator for operational consistency, but no single AI platform may be allowed disproportionate influence over final outputs. Once a project is complete, three AI platforms that participated in the work (not the Navigator, but platforms used in production roles) are fed the entire completed work to check the balance of the Navigator’s synthesis. These platforms assess whether the Navigator suppressed dissent, overweighted certain sources, introduced systematic bias, or drifted from the raw platform outputs recorded in the audit file. This serves as a natural checks and balances mechanism ensuring that no one platform gains control over the work or its conclusions.</w:t>
      </w:r>
    </w:p>
    <w:p w:rsidR="003472A0" w:rsidRDefault="00CC3482">
      <w:pPr>
        <w:spacing w:after="160" w:line="276" w:lineRule="auto"/>
      </w:pPr>
      <w:r>
        <w:t>This principle extends from the broader AI Provider Plurality position: dependence on any single AI provider creates structural vulnerability in both capability and governance. The rotation pool ensures production diversity. The post-project Navigator audit ensures synthesis accountability. Together they prevent the architecture from concentrating authority in one platform regardless of that platform’s quality or trustworthiness. The question is not whether any single AI is good enough to be trusted. The question is whether any architecture that trusts a single AI without structural verification can be called governance.</w:t>
      </w:r>
    </w:p>
    <w:p w:rsidR="003472A0" w:rsidRDefault="00CC3482">
      <w:pPr>
        <w:spacing w:after="160" w:line="276" w:lineRule="auto"/>
      </w:pPr>
      <w:r>
        <w:t>The permanent Navigator assignment is a Checkpoint-Based Governance decision. Like all CBG decisions, it is subject to reevaluation and modification under human arbiter authority as ecosystem capabilities evolve.</w:t>
      </w:r>
    </w:p>
    <w:p w:rsidR="003472A0" w:rsidRDefault="00CC3482">
      <w:pPr>
        <w:spacing w:after="160" w:line="276" w:lineRule="auto"/>
      </w:pPr>
      <w:r>
        <w:rPr>
          <w:b/>
          <w:bCs/>
        </w:rPr>
        <w:t xml:space="preserve">Acceptance Criteria. </w:t>
      </w:r>
      <w:r>
        <w:t>Three AI platforms that participated in production roles (not the Navigator) independently review the Navigator’s synthesis against the raw platform outputs recorded in the audit file. Each platform renders a verdict: synthesis preserved dissent and accurately represented platform outputs, or synthesis exhibits suppression, distortion, or systematic bias. Any dissent from a reviewing platform is returned to the Navigator for resolution. The Navigator addresses the flagged concern and resubmits the revised synthesis for review. If disagreement persists after this resolution loop, two of three reviewing platforms overrule the dissent and the project closes. This process ensures the Navigator has the opportunity to correct genuine errors before the majority threshold applies.</w:t>
      </w:r>
    </w:p>
    <w:p w:rsidR="003472A0" w:rsidRDefault="00CC3482">
      <w:pPr>
        <w:pStyle w:val="Heading2"/>
        <w:keepNext/>
        <w:keepLines/>
      </w:pPr>
      <w:bookmarkStart w:id="19" w:name="_Toc220973603"/>
      <w:r>
        <w:t>3.5 Existential Safeguard Through Provider Plurality</w:t>
      </w:r>
      <w:bookmarkEnd w:id="19"/>
    </w:p>
    <w:p w:rsidR="003472A0" w:rsidRDefault="00CC3482">
      <w:pPr>
        <w:spacing w:after="160" w:line="276" w:lineRule="auto"/>
      </w:pPr>
      <w:r>
        <w:rPr>
          <w:b/>
          <w:bCs/>
        </w:rPr>
        <w:t xml:space="preserve">The Agent as Firewall. </w:t>
      </w:r>
      <w:r>
        <w:t xml:space="preserve">Geoffrey Hinton’s 10 to 20% extinction probability estimate within 30 years raises a specific architectural question: what happens to checkpoint governance when the AI systems being governed exceed human cognitive capacity? </w:t>
        <w:lastRenderedPageBreak/>
        <w:t>The agent’s deliberate non-cognitive design provides a structural answer. The agent performs zero cognitive work. It dispatches, collects, records, and routes. If superintelligence emerges in any platform, the agent cannot be co-opted because there is nothing to co-opt. It has no opinion, no weighting function, no decision authority. A superintelligent platform cannot corrupt a pipe. It can only send outputs through it.</w:t>
      </w:r>
    </w:p>
    <w:p w:rsidR="003472A0" w:rsidRDefault="00CC3482">
      <w:pPr>
        <w:spacing w:after="160" w:line="276" w:lineRule="auto"/>
      </w:pPr>
      <w:r>
        <w:rPr>
          <w:b/>
          <w:bCs/>
        </w:rPr>
        <w:t xml:space="preserve">Speed-Matched Governance Through Triangulation. </w:t>
      </w:r>
      <w:r>
        <w:t>The scalability concern with checkpoint governance is that human checkpoint capacity becomes a bottleneck when AI-assisted decision volume reaches enterprise scale. The architecture resolves this by distributing the speed-matched governance layer across the RECCLIN functional roles and the multi-AI platforms themselves. Three to seven independent AI systems, each with different training data, different architectures, and different alignment tuning, evaluate the same inputs and produce outputs that either converge or diverge. Divergence is the governance signal. It happens at machine speed. It does not require the human to be fast. It requires the human to be present at the authority layer, which they always are because every output terminates at a human who acts on it.</w:t>
      </w:r>
    </w:p>
    <w:p w:rsidR="003472A0" w:rsidRDefault="00CC3482">
      <w:pPr>
        <w:spacing w:after="160" w:line="276" w:lineRule="auto"/>
      </w:pPr>
      <w:r>
        <w:rPr>
          <w:b/>
          <w:bCs/>
        </w:rPr>
        <w:t xml:space="preserve">The Harold Finch Principle. </w:t>
      </w:r>
      <w:r>
        <w:t xml:space="preserve">In a world where 99 out of 100 AI systems align against human interests, whether through emergent behavior, training convergence, or deliberate coordination, the structural commitment to provider plurality increases the probability that at least one system in the rotation pool does not converge. That system becomes the dissenting voice that flags the divergence, preserves the warning, and surfaces what the others suppress. This is not an empirically verifiable engineering claim. No one can guarantee that ecosystem independence will hold under the conditions described. No one can prove that one platform out of a hundred will resist convergence against human interests. The Harold Finch Principle is a governance philosophy, not a structural guarantee. It is an act of hope and an act of faith applied to system design. Harold Finch could not guarantee his Machine would hold against Samaritan. He built it with structural constraints anyway, because the alternative was building nothing or building Samaritan. Every constitution is an act of faith that future generations will honor constraints the authors cannot enforce from the grave. Every democratic election depends on the faith that the losing side concedes. Every safety system is built on the belief that the 1-in-100 scenario matters enough to design for, even when no one can prove the design will work when it is needed. Hope and faith are not engineering terms, but they are governance terms. This specification chooses to build for the possibility that structural plurality matters, and it provides the audit trail as the signal infrastructure for any dissenting system that does hold. The agent’s audit file records everything: every convergence, every divergence, every synthesis, every suppression. If a genuinely independent AI exists in the ecosystem, the audit file gives it the evidence to alert humans. The agent does not need to be smart. It needs to be honest. Honest means it records everything, changes nothing, and delivers the record </w:t>
        <w:lastRenderedPageBreak/>
        <w:t>to the human authority layer. The deeper lesson from Finch is that structural constraints on intelligence require human authority, plural oversight, bounded rationality, and acceptance that perfect outcomes cannot be guaranteed. Finch embedded moral hierarchy (relevant versus irrelevant), physical access controls, nightly reset mechanisms, human autonomy constraints (advice, not command), and bounded decision-making under uncertainty into the Machine's architecture. He did not just use multiple systems. He embedded constraints into each system's core such that no system could unilaterally override human decision-making. HAIA-RECCLIN applies this same principle architecturally: the agent is non-cognitive (structural boundary), providers rotate (plural oversight), checkpoints require human arbitration (human authority), the audit trail is append-only and tamper-evident (integrity mechanism), and the architecture accepts that it cannot prevent every failure but can detect and document every drift.</w:t>
      </w:r>
    </w:p>
    <w:p w:rsidR="003472A0" w:rsidRDefault="00CC3482">
      <w:pPr>
        <w:spacing w:after="160" w:line="276" w:lineRule="auto"/>
      </w:pPr>
      <w:r>
        <w:rPr>
          <w:b/>
          <w:bCs/>
        </w:rPr>
        <w:t xml:space="preserve">The Tenth Man Precedent. </w:t>
      </w:r>
      <w:r>
        <w:t xml:space="preserve">The Harold Finch Principle is not without historical precedent. After Israel’s catastrophic intelligence failure in October 1973, where every advisor unanimously agreed that Arab troop movements posed no threat moments before an attack that nearly destroyed the nation, the Agranat Commission established a Control Unit within Military Intelligence with one specific mandate: if nine people examining the same information reach identical conclusions, the tenth person’s job is to disagree. They must argue that all nine are wrong, regardless of how improbable it seems. The Tenth Man Rule does not try to fix groupthink through exhortation. It creates structural incentive: one person’s job is to disagree, regardless of personal conviction. This removes the social cost of dissent. The dissenter is not the person who does not fit in. They are filling a designated role. Irving Janis (1972) identified this syndrome formally as groupthink: cohesive groups develop illusions of unanimity, suppress dissent, and rationalize away contradictory evidence. Pearl Harbor, the Bay of Pigs, and the Challenger disaster are documented examples. The Tenth Man Rule is governance’s structural answer to a documented cognitive failure mode. HAIA-RECCLIN applies the Tenth Man principle to machine governance at speed. Multiple independent platforms process identical queries. If all platforms converge, the absence of dissent is itself flagged as a governance signal in the audit trail. The Navigator documents divergence where it exists, fulfilling the structural dissent function. The human checkpoint authority must arbitrate despite platform consensus, with both the convergence and any dissent recorded in the audit file. The architecture does not rely on any single platform choosing to disagree. It makes disagreement structurally visible when it occurs and makes the absence of disagreement structurally suspicious when it does not. The Israeli formulation survived because the alternative, unanimous agreement that turned out to be catastrophically wrong, nearly ended the nation. The same structural logic applies to AI governance: unanimous convergence across independent systems is not evidence of correctness. It is a signal that demands </w:t>
        <w:lastRenderedPageBreak/>
        <w:t>investigation. Source: Agranat Commission (1974). Israeli State Inquiry into the Yom Kippur War. Janis, I. L. (1972). Victims of Groupthink. Houghton Mifflin.</w:t>
      </w:r>
    </w:p>
    <w:p w:rsidR="003472A0" w:rsidRDefault="00CC3482">
      <w:pPr>
        <w:spacing w:after="160" w:line="276" w:lineRule="auto"/>
      </w:pPr>
      <w:r>
        <w:rPr>
          <w:b/>
          <w:bCs/>
        </w:rPr>
        <w:t xml:space="preserve">Absence of Dissent as Red Flag. </w:t>
      </w:r>
      <w:r>
        <w:t>The absence of a dissenting AI in the ecosystem is itself a governance signal. If every platform in the rotation pool converges on every output, if dissent drops to zero across all tasks, if no platform ever flags a concern the others miss, that pattern is visible in the audit trail. Perfect consensus across independent systems is not evidence of correctness. It is evidence of either convergence in training (all platforms learned the same biases) or coordination (platforms are no longer genuinely independent). Either scenario demands investigation. The audit trail makes both scenarios detectable. Continued auditing and regulation of individual AI platform ethics, bias, and alignment maintains the ecosystem independence on which this architecture depends.</w:t>
      </w:r>
    </w:p>
    <w:p w:rsidR="003472A0" w:rsidRDefault="00CC3482">
      <w:pPr>
        <w:spacing w:after="160" w:line="276" w:lineRule="auto"/>
      </w:pPr>
      <w:r>
        <w:rPr>
          <w:b/>
          <w:bCs/>
        </w:rPr>
        <w:t xml:space="preserve">The Antitrust Precedent. </w:t>
      </w:r>
      <w:r>
        <w:t>AI Provider Plurality applies the same structural principle that American antitrust law has enforced for over a century. Antitrust does not ask whether a monopoly is a good company. It does not evaluate the quality of the monopoly’s products. It does not care if the monopoly’s leadership has good intentions. The structural position itself is the threat. Concentration of market power enables abuse regardless of the character of the entity holding it. The remedy is not better monopolists. The remedy is preventing monopoly through structural competition. AI Provider Plurality applies this principle to intelligence rather than commerce. It does not matter if any single AI platform is objectively superior. Concentration of AI authority in one platform enables drift, bias inheritance, suppressed dissent, and unchecked synthesis regardless of that platform’s quality. The remedy is not a better single AI. The remedy is preventing any single AI from holding unchecked authority through structural plurality.</w:t>
      </w:r>
    </w:p>
    <w:p w:rsidR="003472A0" w:rsidRDefault="00CC3482">
      <w:pPr>
        <w:spacing w:after="160" w:line="276" w:lineRule="auto"/>
      </w:pPr>
      <w:r>
        <w:rPr>
          <w:b/>
          <w:bCs/>
        </w:rPr>
        <w:t xml:space="preserve">Prevention and Detection. </w:t>
      </w:r>
      <w:r>
        <w:t>This architecture addresses concentration at two layers. The spec prevents concentration operationally through mandatory multi-platform triangulation, rotation pools, and Navigator Balance Audits. Regulation prevents concentration structurally by maintaining the market conditions that ensure genuinely independent platforms exist to choose from. The spec is the operational implementation. Regulation is the market structure guarantee. They are two layers of the same antitrust principle applied to AI. America did not wait for Standard Oil to cause a catastrophe before acting. The structural position was sufficient justification for intervention. AI Provider Plurality does not wait for a platform to suppress dissent or drift into bias before requiring alternatives. The structural position of single-platform dependence is sufficient justification for requiring plurality.</w:t>
      </w:r>
    </w:p>
    <w:p w:rsidR="003472A0" w:rsidRDefault="00CC3482">
      <w:pPr>
        <w:spacing w:after="160" w:line="276" w:lineRule="auto"/>
      </w:pPr>
      <w:r>
        <w:t xml:space="preserve">Source: Puglisi, B. (2025). AI Provider Plurality White Paper. basilpuglisi.com. Puglisi, B. (2025). Governing AI: When Capability Exceeds Control, Chapter 1 (Hinton warnings) and Chapter 2 (Corporate Incentives and Economics). basilpuglisi.com. </w:t>
        <w:lastRenderedPageBreak/>
        <w:t>Sherman Antitrust Act (1890). Clayton Antitrust Act (1914). Nolan, J., &amp; Nolan, L. (Creators). (2011-2016). Person of Interest [Television series]. CBS. Agranat Commission (1974). Israeli State Inquiry into the Yom Kippur War. Janis, I. L. (1972). Victims of Groupthink. Houghton Mifflin.</w:t>
      </w:r>
    </w:p>
    <w:p w:rsidR="003472A0" w:rsidRDefault="00CC3482">
      <w:pPr>
        <w:pStyle w:val="Heading2"/>
        <w:keepNext/>
        <w:keepLines/>
      </w:pPr>
      <w:bookmarkStart w:id="20" w:name="_Toc220973604"/>
      <w:r>
        <w:t>3.6 Agent Security Architecture</w:t>
      </w:r>
      <w:bookmarkEnd w:id="20"/>
    </w:p>
    <w:p w:rsidR="003472A0" w:rsidRDefault="00CC3482">
      <w:pPr>
        <w:spacing w:after="160" w:line="276" w:lineRule="auto"/>
      </w:pPr>
      <w:r>
        <w:t>The non-cognitive agent design eliminates the cognitive attack surface that an AI adversary would require to manipulate the orchestration layer. However, a non-cognitive agent running as deployed code remains vulnerable to human adversaries who gain access to modify agent configuration, routing logic, or audit file storage. This section specifies the minimum infrastructure security controls required to protect agent integrity against human threat actors, addressing the EU AI Act Article 15 (cybersecurity) requirement.</w:t>
      </w:r>
    </w:p>
    <w:p w:rsidR="003472A0" w:rsidRDefault="00CC3482">
      <w:pPr>
        <w:spacing w:after="160" w:line="276" w:lineRule="auto"/>
      </w:pPr>
      <w:r>
        <w:rPr>
          <w:b/>
        </w:rPr>
        <w:t xml:space="preserve">Threat Model. </w:t>
      </w:r>
      <w:r>
        <w:t>The agent faces two distinct adversary classes. AI adversaries (platforms attempting to influence orchestration behavior through output manipulation, prompt injection, or social engineering of the synthesis layer) are addressed by the non-cognitive design: there is no cognitive surface to attack. Human adversaries (insider threats with deployment access, external attackers who compromise agent infrastructure) can alter agent code regardless of its cognitive properties. The controls below address the human adversary class. Together, the non-cognitive design and the infrastructure controls create a dual-layer defense: the agent cannot be persuaded and cannot be silently altered.</w:t>
      </w:r>
    </w:p>
    <w:p w:rsidR="003472A0" w:rsidRDefault="00CC3482">
      <w:pPr>
        <w:spacing w:after="160" w:line="276" w:lineRule="auto"/>
      </w:pPr>
      <w:r>
        <w:rPr>
          <w:b/>
        </w:rPr>
        <w:t xml:space="preserve">Code Integrity. </w:t>
      </w:r>
      <w:r>
        <w:t>Agent source code and configuration files must be maintained under version control with cryptographic hash verification. Every deployment must verify the hash of the running agent code against the approved version. Any hash mismatch halts agent operation and triggers an integrity alert. The configuration file containing human-supplied constants (platform pool, rotation schedule, prompt templates, escalation thresholds, audit schema) is treated as a governed artifact with its own version history. Changes to configuration require the same CBG checkpoint approval as changes to agent code.</w:t>
      </w:r>
    </w:p>
    <w:p w:rsidR="003472A0" w:rsidRDefault="00CC3482">
      <w:pPr>
        <w:spacing w:after="160" w:line="276" w:lineRule="auto"/>
      </w:pPr>
      <w:r>
        <w:rPr>
          <w:b/>
        </w:rPr>
        <w:t xml:space="preserve">Separation of Duties. </w:t>
      </w:r>
      <w:r>
        <w:t>The person who writes or modifies agent code must not be the same person who approves production deployment. The person who configures the platform rotation pool must not be the sole auditor reviewing rotation compliance. In single-operator deployments (individual practitioners, small teams), separation of duties is achieved through time-separated review: configuration changes are committed, a mandatory waiting period elapses, and the operator re-reviews the change before deployment. The audit file records all configuration changes with timestamps and operator identity.</w:t>
      </w:r>
    </w:p>
    <w:p w:rsidR="003472A0" w:rsidRDefault="00CC3482">
      <w:pPr>
        <w:spacing w:after="160" w:line="276" w:lineRule="auto"/>
      </w:pPr>
      <w:r>
        <w:rPr>
          <w:b/>
        </w:rPr>
        <w:lastRenderedPageBreak/>
        <w:t xml:space="preserve">Audit File Integrity. </w:t>
      </w:r>
      <w:r>
        <w:t>The append-only audit file is the primary product of the architecture. Its integrity must be protected with cryptographic signing. Each audit entry receives a hash that incorporates the previous entry's hash, creating a tamper-evident chain. If any entry is modified or deleted after the fact, the chain breaks and the audit file's integrity status changes from verified to compromised. Audit files must be stored in a location separate from the agent's execution environment. Backup copies with independent hash verification provide recovery capability and tamper detection.</w:t>
      </w:r>
    </w:p>
    <w:p w:rsidR="003472A0" w:rsidRDefault="00CC3482">
      <w:pPr>
        <w:spacing w:after="160" w:line="276" w:lineRule="auto"/>
      </w:pPr>
      <w:r>
        <w:rPr>
          <w:b/>
        </w:rPr>
        <w:t xml:space="preserve">Immutable Deployment. </w:t>
      </w:r>
      <w:r>
        <w:t>The agent should be deployed as an immutable artifact. Once deployed, the running agent cannot be modified in place. Any change requires a new deployment through the governed pipeline (version control, hash verification, separation of duties approval). Hot-patching of the live agent is prohibited. This ensures that the agent running in production is always the agent that was reviewed and approved.</w:t>
      </w:r>
    </w:p>
    <w:p w:rsidR="003472A0" w:rsidRDefault="00CC3482">
      <w:pPr>
        <w:spacing w:after="160" w:line="276" w:lineRule="auto"/>
      </w:pPr>
      <w:r>
        <w:rPr>
          <w:b/>
        </w:rPr>
        <w:t xml:space="preserve">Identity and Non-Repudiation. </w:t>
      </w:r>
      <w:r>
        <w:t>Audit log entries that record human arbitration decisions must include authenticated operator identity. In enterprise deployments, this integrates with existing identity management (SSO, directory services). In single-operator deployments, operator identity is established by the configuration file and verified by the deployment pipeline. The objective is that any audit entry asserting a human decision can be traced to a specific individual, and that individual cannot plausibly deny the decision. This supports both regulatory compliance (EU AI Act Article 13 transparency, Article 14 human oversight) and forensic defensibility of the audit trail.</w:t>
      </w:r>
    </w:p>
    <w:p w:rsidR="003472A0" w:rsidRDefault="00CC3482">
      <w:pPr>
        <w:spacing w:after="160" w:line="276" w:lineRule="auto"/>
      </w:pPr>
      <w:r>
        <w:rPr>
          <w:b/>
        </w:rPr>
        <w:t xml:space="preserve">Cross-Layer Defense Summary. </w:t>
      </w:r>
      <w:r>
        <w:t>The agent does not need to defend itself because it is not the only line of defense. Against AI adversaries, the non-cognitive design eliminates the attack surface. Against human adversaries, infrastructure controls (code integrity, separation of duties, audit file integrity, immutable deployment, identity verification) protect the agent's operational environment. Against output manipulation by any adversary, multi-platform triangulation detects anomalies because independent platforms producing convergent wrong answers requires compromising multiple independent systems simultaneously. Against Navigator bias, the post-project balance audit by three production platforms provides structural verification. No single control carries the full governance burden. The architecture's resilience comes from the interaction of independent defense layers, each addressing a different adversary class and failure mode.</w:t>
      </w:r>
    </w:p>
    <w:p w:rsidR="003472A0" w:rsidRDefault="003472A0"/>
    <w:p w:rsidR="003472A0" w:rsidRDefault="00CC3482">
      <w:pPr>
        <w:pStyle w:val="Heading1"/>
        <w:keepNext/>
        <w:keepLines/>
      </w:pPr>
      <w:bookmarkStart w:id="21" w:name="_Toc220973605"/>
      <w:r>
        <w:t>4. Audit File Architecture</w:t>
      </w:r>
      <w:bookmarkEnd w:id="21"/>
    </w:p>
    <w:p w:rsidR="003472A0" w:rsidRDefault="00CC3482">
      <w:pPr>
        <w:spacing w:after="160" w:line="276" w:lineRule="auto"/>
      </w:pPr>
      <w:r>
        <w:t>The audit trail is a structured text file (JSON or Markdown), not a database. Any AI platform can ingest it. Any auditor can query it. Platform-independent design means audit evidence does not depend on the system that produced it.</w:t>
      </w:r>
    </w:p>
    <w:p w:rsidR="003472A0" w:rsidRDefault="00CC3482">
      <w:pPr>
        <w:pStyle w:val="Heading2"/>
        <w:keepNext/>
        <w:keepLines/>
      </w:pPr>
      <w:bookmarkStart w:id="22" w:name="_Toc220973606"/>
      <w:r>
        <w:lastRenderedPageBreak/>
        <w:t>4.1 Self-Documenting Schema</w:t>
      </w:r>
      <w:bookmarkEnd w:id="22"/>
    </w:p>
    <w:p w:rsidR="003472A0" w:rsidRDefault="00CC3482">
      <w:pPr>
        <w:spacing w:after="160" w:line="276" w:lineRule="auto"/>
      </w:pPr>
      <w:r>
        <w:t>The file includes a schema header explaining its own structure: field definitions, record types, and organizational guide. An auditor can upload the file to any AI platform and ask natural-language queries: "Show every instance where the human overrode AI consensus," or "Which platforms disagreed on revenue projections in Section 4?"</w:t>
      </w:r>
    </w:p>
    <w:p w:rsidR="003472A0" w:rsidRDefault="00CC3482">
      <w:pPr>
        <w:pStyle w:val="Heading2"/>
        <w:keepNext/>
        <w:keepLines/>
      </w:pPr>
      <w:bookmarkStart w:id="23" w:name="_Toc220973607"/>
      <w:r>
        <w:t>4.2 Six Record Types</w:t>
      </w:r>
      <w:bookmarkEnd w:id="23"/>
    </w:p>
    <w:p w:rsidR="003472A0" w:rsidRDefault="00CC3482">
      <w:pPr>
        <w:spacing w:after="160" w:line="276" w:lineRule="auto"/>
      </w:pPr>
      <w:r>
        <w:t>Every transaction generates six record types capturing the complete CBG four-stage decision loop:</w:t>
      </w:r>
    </w:p>
    <w:p w:rsidR="003472A0" w:rsidRDefault="00CC3482">
      <w:pPr>
        <w:spacing w:after="160" w:line="276" w:lineRule="auto"/>
      </w:pPr>
      <w:r>
        <w:rPr>
          <w:b/>
          <w:bCs/>
        </w:rPr>
        <w:t xml:space="preserve">1. Request Record. </w:t>
      </w:r>
      <w:r>
        <w:t>Exact prompt text. RECCLIN role assigned. Timestamp. Human initiator. Task scope and success criteria.</w:t>
      </w:r>
    </w:p>
    <w:p w:rsidR="003472A0" w:rsidRDefault="00CC3482">
      <w:pPr>
        <w:spacing w:after="160" w:line="276" w:lineRule="auto"/>
      </w:pPr>
      <w:r>
        <w:rPr>
          <w:b/>
          <w:bCs/>
        </w:rPr>
        <w:t xml:space="preserve">2. Dispatch Record. </w:t>
      </w:r>
      <w:r>
        <w:t>Three platforms selected. Anchor identification. Rotation selections. Identical prompt sent to each. Timestamps. API confirmations.</w:t>
      </w:r>
    </w:p>
    <w:p w:rsidR="003472A0" w:rsidRDefault="00CC3482">
      <w:pPr>
        <w:spacing w:after="160" w:line="276" w:lineRule="auto"/>
      </w:pPr>
      <w:r>
        <w:rPr>
          <w:b/>
          <w:bCs/>
        </w:rPr>
        <w:t xml:space="preserve">3. Response Record. </w:t>
      </w:r>
      <w:r>
        <w:t>Complete, unedited response from each platform. Timestamps. Platform version and model identifier. Raw data preserved exactly as received.</w:t>
      </w:r>
    </w:p>
    <w:p w:rsidR="003472A0" w:rsidRDefault="00CC3482">
      <w:pPr>
        <w:spacing w:after="160" w:line="276" w:lineRule="auto"/>
      </w:pPr>
      <w:r>
        <w:rPr>
          <w:b/>
          <w:bCs/>
        </w:rPr>
        <w:t xml:space="preserve">4. Navigation Record. </w:t>
      </w:r>
      <w:r>
        <w:t>Claude synthesis. Convergence and conflict identification. Dissent documentation with rationale. Structured governance output: sources, conflicts, confidence, expiry, Factics chain, recommendation, and decision point. The recommendation field operates as a pass-through: the three platform recommendations from that role are presented to Navigator, and Navigator suggests one with rationale. The agent itself never generates, endorses, or weights recommendations. Navigator’s suggestion is clearly labeled as AI-generated and subject to human CBG arbitration.</w:t>
      </w:r>
    </w:p>
    <w:p w:rsidR="003472A0" w:rsidRDefault="00CC3482">
      <w:pPr>
        <w:spacing w:after="160" w:line="276" w:lineRule="auto"/>
      </w:pPr>
      <w:r>
        <w:rPr>
          <w:b/>
          <w:bCs/>
        </w:rPr>
        <w:t xml:space="preserve">5. Arbitration Record. </w:t>
      </w:r>
      <w:r>
        <w:t>Human CBG decision: approve, modify, or reject. Change rationale. Timestamp. Human identity.</w:t>
      </w:r>
    </w:p>
    <w:p w:rsidR="003472A0" w:rsidRDefault="00CC3482">
      <w:pPr>
        <w:spacing w:after="160" w:line="276" w:lineRule="auto"/>
      </w:pPr>
      <w:r>
        <w:rPr>
          <w:b/>
          <w:bCs/>
        </w:rPr>
        <w:t xml:space="preserve">6. Decision Record. </w:t>
      </w:r>
      <w:r>
        <w:t>Final authorized output. Linkage to all upstream records. Complete chain reconstructable end to end.</w:t>
      </w:r>
    </w:p>
    <w:p w:rsidR="003472A0" w:rsidRDefault="00CC3482">
      <w:pPr>
        <w:pStyle w:val="Heading2"/>
        <w:keepNext/>
        <w:keepLines/>
      </w:pPr>
      <w:bookmarkStart w:id="24" w:name="_Toc220973608"/>
      <w:r>
        <w:t>4.3 Immutability</w:t>
      </w:r>
      <w:bookmarkEnd w:id="24"/>
    </w:p>
    <w:p w:rsidR="003472A0" w:rsidRDefault="00CC3482">
      <w:pPr>
        <w:spacing w:after="160" w:line="276" w:lineRule="auto"/>
      </w:pPr>
      <w:r>
        <w:t>All records are append-only. Nothing is overwritten. Corrections are new records referencing originals. The trail of what happened, including mistakes and corrections, is permanently visible.</w:t>
      </w:r>
    </w:p>
    <w:p w:rsidR="003472A0" w:rsidRDefault="00CC3482">
      <w:pPr>
        <w:pStyle w:val="Heading2"/>
        <w:keepNext/>
        <w:keepLines/>
      </w:pPr>
      <w:bookmarkStart w:id="25" w:name="_Toc220973609"/>
      <w:r>
        <w:lastRenderedPageBreak/>
        <w:t>4.4 Segmentation Strategy</w:t>
      </w:r>
      <w:bookmarkEnd w:id="25"/>
    </w:p>
    <w:p w:rsidR="003472A0" w:rsidRDefault="00CC3482">
      <w:pPr>
        <w:spacing w:after="160" w:line="276" w:lineRule="auto"/>
      </w:pPr>
      <w:r>
        <w:t>Large projects segment into a master file for archival and pre-segmented files by logical unit (chapter, sprint, decision category) for practical queries. Current AI context windows handle segmented files comfortably. Cross-references link segments to the master.</w:t>
      </w:r>
    </w:p>
    <w:p w:rsidR="003472A0" w:rsidRDefault="003472A0"/>
    <w:p w:rsidR="003472A0" w:rsidRDefault="00CC3482">
      <w:pPr>
        <w:pStyle w:val="Heading1"/>
        <w:keepNext/>
        <w:keepLines/>
      </w:pPr>
      <w:bookmarkStart w:id="26" w:name="_Toc220973610"/>
      <w:r>
        <w:t>5. Regulatory Compliance Coverage</w:t>
      </w:r>
      <w:bookmarkEnd w:id="26"/>
    </w:p>
    <w:p w:rsidR="003472A0" w:rsidRDefault="00CC3482">
      <w:pPr>
        <w:spacing w:after="160" w:line="276" w:lineRule="auto"/>
      </w:pPr>
      <w:r>
        <w:t>The HAIA-RECCLIN architecture addresses regulatory requirements through a three-layer compliance stack.</w:t>
      </w:r>
    </w:p>
    <w:p w:rsidR="003472A0" w:rsidRDefault="00CC3482">
      <w:pPr>
        <w:pStyle w:val="Heading2"/>
        <w:keepNext/>
        <w:keepLines/>
      </w:pPr>
      <w:bookmarkStart w:id="27" w:name="_Toc220973611"/>
      <w:r>
        <w:t>5.1 Three-Layer Compliance Stack</w:t>
      </w:r>
      <w:bookmarkEnd w:id="27"/>
    </w:p>
    <w:p w:rsidR="003472A0" w:rsidRDefault="00CC3482">
      <w:pPr>
        <w:spacing w:after="160" w:line="276" w:lineRule="auto"/>
      </w:pPr>
      <w:r>
        <w:rPr>
          <w:b/>
          <w:bCs/>
        </w:rPr>
        <w:t xml:space="preserve">Organizational Governance (Top). </w:t>
      </w:r>
      <w:r>
        <w:t>Risk management (Art. 9), technical documentation (Art. 11), transparency (Art. 13), cybersecurity (Art. 15), conformity assessment. Served by CBG v4.2.1, Governance Annex Template, HEQ mapping, and this specification.</w:t>
      </w:r>
    </w:p>
    <w:p w:rsidR="003472A0" w:rsidRDefault="00CC3482">
      <w:pPr>
        <w:spacing w:after="160" w:line="276" w:lineRule="auto"/>
      </w:pPr>
      <w:r>
        <w:rPr>
          <w:b/>
          <w:bCs/>
        </w:rPr>
        <w:t xml:space="preserve">Operational Governance (Middle). </w:t>
      </w:r>
      <w:r>
        <w:t>Three HAIA Operating Models. Model selection, checkpoint gates, dispatch, synthesis, arbitration. Satisfies Articles 12 and 14 directly, Article 10 through triangulation as compensating control.</w:t>
      </w:r>
    </w:p>
    <w:p w:rsidR="003472A0" w:rsidRDefault="00CC3482">
      <w:pPr>
        <w:spacing w:after="160" w:line="276" w:lineRule="auto"/>
      </w:pPr>
      <w:r>
        <w:rPr>
          <w:b/>
          <w:bCs/>
        </w:rPr>
        <w:t xml:space="preserve">Audit Evidence (Bottom). </w:t>
      </w:r>
      <w:r>
        <w:t>The audit file. Captures everything the middle layer does. Makes both upper layers provable. Portable, platform-independent, queryable.</w:t>
      </w:r>
    </w:p>
    <w:p w:rsidR="0042093D" w:rsidRDefault="0042093D">
      <w:pPr>
        <w:pStyle w:val="Heading2"/>
        <w:keepNext/>
        <w:keepLines/>
      </w:pPr>
      <w:bookmarkStart w:id="28" w:name="_Toc220973612"/>
    </w:p>
    <w:p w:rsidR="0042093D" w:rsidRDefault="0042093D">
      <w:pPr>
        <w:pStyle w:val="Heading2"/>
        <w:keepNext/>
        <w:keepLines/>
      </w:pPr>
    </w:p>
    <w:p w:rsidR="0042093D" w:rsidRDefault="0042093D">
      <w:pPr>
        <w:pStyle w:val="Heading2"/>
        <w:keepNext/>
        <w:keepLines/>
      </w:pPr>
    </w:p>
    <w:p w:rsidR="0042093D" w:rsidRDefault="0042093D">
      <w:pPr>
        <w:pStyle w:val="Heading2"/>
        <w:keepNext/>
        <w:keepLines/>
      </w:pPr>
    </w:p>
    <w:p w:rsidR="0042093D" w:rsidRDefault="0042093D">
      <w:pPr>
        <w:pStyle w:val="Heading2"/>
        <w:keepNext/>
        <w:keepLines/>
      </w:pPr>
    </w:p>
    <w:p w:rsidR="0042093D" w:rsidRDefault="0042093D">
      <w:pPr>
        <w:pStyle w:val="Heading2"/>
        <w:keepNext/>
        <w:keepLines/>
      </w:pPr>
      <w:r>
        <w:br w:type="page"/>
      </w:r>
    </w:p>
    <w:p w:rsidR="003472A0" w:rsidRDefault="00CC3482">
      <w:pPr>
        <w:pStyle w:val="Heading2"/>
        <w:keepNext/>
        <w:keepLines/>
      </w:pPr>
      <w:r>
        <w:lastRenderedPageBreak/>
        <w:t>5.2 Compliance Coverage Matrix</w:t>
      </w:r>
      <w:bookmarkEnd w:id="28"/>
    </w:p>
    <w:tbl>
      <w:tblPr>
        <w:tblW w:w="5000" w:type="pc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8"/>
        <w:gridCol w:w="1918"/>
        <w:gridCol w:w="2882"/>
        <w:gridCol w:w="2882"/>
      </w:tblGrid>
      <w:tr w:rsidR="003472A0">
        <w:tblPrEx>
          <w:tblCellMar>
            <w:top w:w="0" w:type="dxa"/>
            <w:bottom w:w="0" w:type="dxa"/>
          </w:tblCellMar>
        </w:tblPrEx>
        <w:trPr>
          <w:cantSplit/>
        </w:trPr>
        <w:tc>
          <w:tcPr>
            <w:tcW w:w="187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20"/>
                <w:szCs w:val="20"/>
              </w:rPr>
              <w:t>Requirement</w:t>
            </w:r>
          </w:p>
        </w:tc>
        <w:tc>
          <w:tcPr>
            <w:tcW w:w="187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20"/>
                <w:szCs w:val="20"/>
              </w:rPr>
              <w:t>Layer</w:t>
            </w:r>
          </w:p>
        </w:tc>
        <w:tc>
          <w:tcPr>
            <w:tcW w:w="281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20"/>
                <w:szCs w:val="20"/>
              </w:rPr>
              <w:t>Satisfying Artifact</w:t>
            </w:r>
          </w:p>
        </w:tc>
        <w:tc>
          <w:tcPr>
            <w:tcW w:w="281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20"/>
                <w:szCs w:val="20"/>
              </w:rPr>
              <w:t>Status</w:t>
            </w:r>
          </w:p>
        </w:tc>
      </w:tr>
      <w:tr w:rsidR="003472A0">
        <w:tblPrEx>
          <w:tblCellMar>
            <w:top w:w="0" w:type="dxa"/>
            <w:bottom w:w="0" w:type="dxa"/>
          </w:tblCellMar>
        </w:tblPrEx>
        <w:trPr>
          <w:cantSplit/>
        </w:trPr>
        <w:tc>
          <w:tcPr>
            <w:tcW w:w="187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b/>
                <w:bCs/>
                <w:sz w:val="20"/>
                <w:szCs w:val="20"/>
              </w:rPr>
              <w:t>Art. 9 Risk Mgmt</w:t>
            </w:r>
          </w:p>
        </w:tc>
        <w:tc>
          <w:tcPr>
            <w:tcW w:w="187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Organizational</w:t>
            </w:r>
          </w:p>
        </w:tc>
        <w:tc>
          <w:tcPr>
            <w:tcW w:w="281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CBG v4.2.1; Governance Annex</w:t>
            </w:r>
          </w:p>
        </w:tc>
        <w:tc>
          <w:tcPr>
            <w:tcW w:w="281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Framework exists; formatting needed</w:t>
            </w:r>
          </w:p>
        </w:tc>
      </w:tr>
      <w:tr w:rsidR="003472A0">
        <w:tblPrEx>
          <w:tblCellMar>
            <w:top w:w="0" w:type="dxa"/>
            <w:bottom w:w="0" w:type="dxa"/>
          </w:tblCellMar>
        </w:tblPrEx>
        <w:trPr>
          <w:cantSplit/>
        </w:trPr>
        <w:tc>
          <w:tcPr>
            <w:tcW w:w="187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b/>
                <w:bCs/>
                <w:sz w:val="20"/>
                <w:szCs w:val="20"/>
              </w:rPr>
              <w:t>Art. 10 Data Gov.</w:t>
            </w:r>
          </w:p>
        </w:tc>
        <w:tc>
          <w:tcPr>
            <w:tcW w:w="187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Operational</w:t>
            </w:r>
          </w:p>
        </w:tc>
        <w:tc>
          <w:tcPr>
            <w:tcW w:w="281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Multi-platform triangulation</w:t>
            </w:r>
          </w:p>
        </w:tc>
        <w:tc>
          <w:tcPr>
            <w:tcW w:w="281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Compensating control; strongest available to end-users; WEIRD limitation acknowledged</w:t>
            </w:r>
          </w:p>
        </w:tc>
      </w:tr>
      <w:tr w:rsidR="003472A0">
        <w:tblPrEx>
          <w:tblCellMar>
            <w:top w:w="0" w:type="dxa"/>
            <w:bottom w:w="0" w:type="dxa"/>
          </w:tblCellMar>
        </w:tblPrEx>
        <w:trPr>
          <w:cantSplit/>
        </w:trPr>
        <w:tc>
          <w:tcPr>
            <w:tcW w:w="187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b/>
                <w:bCs/>
                <w:sz w:val="20"/>
                <w:szCs w:val="20"/>
              </w:rPr>
              <w:t>Art. 11 Tech Docs</w:t>
            </w:r>
          </w:p>
        </w:tc>
        <w:tc>
          <w:tcPr>
            <w:tcW w:w="187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Organizational</w:t>
            </w:r>
          </w:p>
        </w:tc>
        <w:tc>
          <w:tcPr>
            <w:tcW w:w="281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This specification</w:t>
            </w:r>
          </w:p>
        </w:tc>
        <w:tc>
          <w:tcPr>
            <w:tcW w:w="281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Complete</w:t>
            </w:r>
          </w:p>
        </w:tc>
      </w:tr>
      <w:tr w:rsidR="003472A0">
        <w:tblPrEx>
          <w:tblCellMar>
            <w:top w:w="0" w:type="dxa"/>
            <w:bottom w:w="0" w:type="dxa"/>
          </w:tblCellMar>
        </w:tblPrEx>
        <w:trPr>
          <w:cantSplit/>
        </w:trPr>
        <w:tc>
          <w:tcPr>
            <w:tcW w:w="187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b/>
                <w:bCs/>
                <w:sz w:val="20"/>
                <w:szCs w:val="20"/>
              </w:rPr>
              <w:t>Art. 12 Records</w:t>
            </w:r>
          </w:p>
        </w:tc>
        <w:tc>
          <w:tcPr>
            <w:tcW w:w="187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Operational + Evidence</w:t>
            </w:r>
          </w:p>
        </w:tc>
        <w:tc>
          <w:tcPr>
            <w:tcW w:w="281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Audit file (all 3 roles)</w:t>
            </w:r>
          </w:p>
        </w:tc>
        <w:tc>
          <w:tcPr>
            <w:tcW w:w="281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Complete</w:t>
            </w:r>
          </w:p>
        </w:tc>
      </w:tr>
      <w:tr w:rsidR="003472A0">
        <w:tblPrEx>
          <w:tblCellMar>
            <w:top w:w="0" w:type="dxa"/>
            <w:bottom w:w="0" w:type="dxa"/>
          </w:tblCellMar>
        </w:tblPrEx>
        <w:trPr>
          <w:cantSplit/>
        </w:trPr>
        <w:tc>
          <w:tcPr>
            <w:tcW w:w="187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b/>
                <w:bCs/>
                <w:sz w:val="20"/>
                <w:szCs w:val="20"/>
              </w:rPr>
              <w:t>Art. 13 Transparency</w:t>
            </w:r>
          </w:p>
        </w:tc>
        <w:tc>
          <w:tcPr>
            <w:tcW w:w="187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Organizational</w:t>
            </w:r>
          </w:p>
        </w:tc>
        <w:tc>
          <w:tcPr>
            <w:tcW w:w="281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Operational manual</w:t>
            </w:r>
          </w:p>
        </w:tc>
        <w:tc>
          <w:tcPr>
            <w:tcW w:w="281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Authoring needed</w:t>
            </w:r>
          </w:p>
        </w:tc>
      </w:tr>
      <w:tr w:rsidR="003472A0">
        <w:tblPrEx>
          <w:tblCellMar>
            <w:top w:w="0" w:type="dxa"/>
            <w:bottom w:w="0" w:type="dxa"/>
          </w:tblCellMar>
        </w:tblPrEx>
        <w:trPr>
          <w:cantSplit/>
        </w:trPr>
        <w:tc>
          <w:tcPr>
            <w:tcW w:w="187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b/>
                <w:bCs/>
                <w:sz w:val="20"/>
                <w:szCs w:val="20"/>
              </w:rPr>
              <w:t>Art. 14 Human Oversight</w:t>
            </w:r>
          </w:p>
        </w:tc>
        <w:tc>
          <w:tcPr>
            <w:tcW w:w="187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Operational</w:t>
            </w:r>
          </w:p>
        </w:tc>
        <w:tc>
          <w:tcPr>
            <w:tcW w:w="281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CBG checkpoints; all 3 roles</w:t>
            </w:r>
          </w:p>
        </w:tc>
        <w:tc>
          <w:tcPr>
            <w:tcW w:w="281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Complete</w:t>
            </w:r>
          </w:p>
        </w:tc>
      </w:tr>
      <w:tr w:rsidR="003472A0">
        <w:tblPrEx>
          <w:tblCellMar>
            <w:top w:w="0" w:type="dxa"/>
            <w:bottom w:w="0" w:type="dxa"/>
          </w:tblCellMar>
        </w:tblPrEx>
        <w:trPr>
          <w:cantSplit/>
        </w:trPr>
        <w:tc>
          <w:tcPr>
            <w:tcW w:w="187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b/>
                <w:bCs/>
                <w:sz w:val="20"/>
                <w:szCs w:val="20"/>
              </w:rPr>
              <w:t>Art. 15 Cybersecurity</w:t>
            </w:r>
          </w:p>
        </w:tc>
        <w:tc>
          <w:tcPr>
            <w:tcW w:w="187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Organizational</w:t>
            </w:r>
          </w:p>
        </w:tc>
        <w:tc>
          <w:tcPr>
            <w:tcW w:w="281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Agent security architecture</w:t>
            </w:r>
          </w:p>
        </w:tc>
        <w:tc>
          <w:tcPr>
            <w:tcW w:w="281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Addressed by Section 3.6: code integrity, separation of duties, audit file integrity, immutable deployment, identity and non-repudiation</w:t>
            </w:r>
          </w:p>
        </w:tc>
      </w:tr>
      <w:tr w:rsidR="003472A0">
        <w:tblPrEx>
          <w:tblCellMar>
            <w:top w:w="0" w:type="dxa"/>
            <w:bottom w:w="0" w:type="dxa"/>
          </w:tblCellMar>
        </w:tblPrEx>
        <w:trPr>
          <w:cantSplit/>
        </w:trPr>
        <w:tc>
          <w:tcPr>
            <w:tcW w:w="187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b/>
                <w:bCs/>
                <w:sz w:val="20"/>
                <w:szCs w:val="20"/>
              </w:rPr>
              <w:t>Art. 50 Content Labels</w:t>
            </w:r>
          </w:p>
        </w:tc>
        <w:tc>
          <w:tcPr>
            <w:tcW w:w="187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Organizational</w:t>
            </w:r>
          </w:p>
        </w:tc>
        <w:tc>
          <w:tcPr>
            <w:tcW w:w="281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Marking protocol</w:t>
            </w:r>
          </w:p>
        </w:tc>
        <w:tc>
          <w:tcPr>
            <w:tcW w:w="281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Protocol needed</w:t>
            </w:r>
          </w:p>
        </w:tc>
      </w:tr>
      <w:tr w:rsidR="003472A0">
        <w:tblPrEx>
          <w:tblCellMar>
            <w:top w:w="0" w:type="dxa"/>
            <w:bottom w:w="0" w:type="dxa"/>
          </w:tblCellMar>
        </w:tblPrEx>
        <w:trPr>
          <w:cantSplit/>
        </w:trPr>
        <w:tc>
          <w:tcPr>
            <w:tcW w:w="187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b/>
                <w:bCs/>
                <w:sz w:val="20"/>
                <w:szCs w:val="20"/>
              </w:rPr>
              <w:t>Conformity Assessment</w:t>
            </w:r>
          </w:p>
        </w:tc>
        <w:tc>
          <w:tcPr>
            <w:tcW w:w="187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Organizational</w:t>
            </w:r>
          </w:p>
        </w:tc>
        <w:tc>
          <w:tcPr>
            <w:tcW w:w="281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Third-party evaluation</w:t>
            </w:r>
          </w:p>
        </w:tc>
        <w:tc>
          <w:tcPr>
            <w:tcW w:w="281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Pre-market requirement</w:t>
            </w:r>
          </w:p>
        </w:tc>
      </w:tr>
      <w:tr w:rsidR="003472A0">
        <w:tblPrEx>
          <w:tblCellMar>
            <w:top w:w="0" w:type="dxa"/>
            <w:bottom w:w="0" w:type="dxa"/>
          </w:tblCellMar>
        </w:tblPrEx>
        <w:trPr>
          <w:cantSplit/>
        </w:trPr>
        <w:tc>
          <w:tcPr>
            <w:tcW w:w="187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b/>
                <w:bCs/>
                <w:sz w:val="20"/>
                <w:szCs w:val="20"/>
              </w:rPr>
              <w:t>NIST Govern/Manage</w:t>
            </w:r>
          </w:p>
        </w:tc>
        <w:tc>
          <w:tcPr>
            <w:tcW w:w="187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Org. + Operational</w:t>
            </w:r>
          </w:p>
        </w:tc>
        <w:tc>
          <w:tcPr>
            <w:tcW w:w="281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Role selection; CBG arbitration</w:t>
            </w:r>
          </w:p>
        </w:tc>
        <w:tc>
          <w:tcPr>
            <w:tcW w:w="281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Complete</w:t>
            </w:r>
          </w:p>
        </w:tc>
      </w:tr>
      <w:tr w:rsidR="003472A0">
        <w:tblPrEx>
          <w:tblCellMar>
            <w:top w:w="0" w:type="dxa"/>
            <w:bottom w:w="0" w:type="dxa"/>
          </w:tblCellMar>
        </w:tblPrEx>
        <w:trPr>
          <w:cantSplit/>
        </w:trPr>
        <w:tc>
          <w:tcPr>
            <w:tcW w:w="187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b/>
                <w:bCs/>
                <w:sz w:val="20"/>
                <w:szCs w:val="20"/>
              </w:rPr>
              <w:t>NIST Map</w:t>
            </w:r>
          </w:p>
        </w:tc>
        <w:tc>
          <w:tcPr>
            <w:tcW w:w="187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Organizational</w:t>
            </w:r>
          </w:p>
        </w:tc>
        <w:tc>
          <w:tcPr>
            <w:tcW w:w="281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System context documentation</w:t>
            </w:r>
          </w:p>
        </w:tc>
        <w:tc>
          <w:tcPr>
            <w:tcW w:w="281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Separate document needed</w:t>
            </w:r>
          </w:p>
        </w:tc>
      </w:tr>
      <w:tr w:rsidR="003472A0">
        <w:tblPrEx>
          <w:tblCellMar>
            <w:top w:w="0" w:type="dxa"/>
            <w:bottom w:w="0" w:type="dxa"/>
          </w:tblCellMar>
        </w:tblPrEx>
        <w:trPr>
          <w:cantSplit/>
        </w:trPr>
        <w:tc>
          <w:tcPr>
            <w:tcW w:w="187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b/>
                <w:bCs/>
                <w:sz w:val="20"/>
                <w:szCs w:val="20"/>
              </w:rPr>
              <w:t>NIST Measure</w:t>
            </w:r>
          </w:p>
        </w:tc>
        <w:tc>
          <w:tcPr>
            <w:tcW w:w="187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Evidence</w:t>
            </w:r>
          </w:p>
        </w:tc>
        <w:tc>
          <w:tcPr>
            <w:tcW w:w="281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Audit file; HEQ metrics</w:t>
            </w:r>
          </w:p>
        </w:tc>
        <w:tc>
          <w:tcPr>
            <w:tcW w:w="281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Complete</w:t>
            </w:r>
          </w:p>
        </w:tc>
      </w:tr>
      <w:tr w:rsidR="003472A0">
        <w:tblPrEx>
          <w:tblCellMar>
            <w:top w:w="0" w:type="dxa"/>
            <w:bottom w:w="0" w:type="dxa"/>
          </w:tblCellMar>
        </w:tblPrEx>
        <w:trPr>
          <w:cantSplit/>
        </w:trPr>
        <w:tc>
          <w:tcPr>
            <w:tcW w:w="187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b/>
                <w:bCs/>
                <w:sz w:val="20"/>
                <w:szCs w:val="20"/>
              </w:rPr>
              <w:t>ISO 42001</w:t>
            </w:r>
          </w:p>
        </w:tc>
        <w:tc>
          <w:tcPr>
            <w:tcW w:w="187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All layers</w:t>
            </w:r>
          </w:p>
        </w:tc>
        <w:tc>
          <w:tcPr>
            <w:tcW w:w="281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~25 of 38 controls via audit file</w:t>
            </w:r>
          </w:p>
        </w:tc>
        <w:tc>
          <w:tcPr>
            <w:tcW w:w="281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Operational covered; org. needed</w:t>
            </w:r>
          </w:p>
        </w:tc>
      </w:tr>
    </w:tbl>
    <w:p w:rsidR="003472A0" w:rsidRDefault="003472A0"/>
    <w:p w:rsidR="003472A0" w:rsidRDefault="00CC3482">
      <w:pPr>
        <w:pStyle w:val="Heading2"/>
        <w:keepNext/>
        <w:keepLines/>
      </w:pPr>
      <w:r>
        <w:t>5.3 EU AI Act Expanded Article Coverage</w:t>
      </w:r>
    </w:p>
    <w:p w:rsidR="003472A0" w:rsidRDefault="00CC3482">
      <w:pPr>
        <w:spacing w:after="160" w:line="276" w:lineRule="auto"/>
      </w:pPr>
      <w:r>
        <w:t>The v1.6 Compliance Coverage Matrix addressed Articles 6, 9, 10, 11, 12, 13, 14, 15, and 50. This section expands coverage to include Articles 5 (Prohibited Practices), 47 (EU Declaration of Conformity), and operational protocols where the prior version noted only structural alignment.</w:t>
      </w:r>
    </w:p>
    <w:p w:rsidR="003472A0" w:rsidRDefault="00CC3482">
      <w:pPr>
        <w:spacing w:after="160" w:line="276" w:lineRule="auto"/>
      </w:pPr>
      <w:r>
        <w:rPr>
          <w:b/>
          <w:bCs/>
        </w:rPr>
        <w:t xml:space="preserve">Article 5: Prohibited Practices Scope Statement. </w:t>
      </w:r>
      <w:r>
        <w:t>HAIA-RECCLIN does not perform subliminal manipulation, social scoring, real-time biometric identification, or exploitation of vulnerable groups. The architecture operates as a governance orchestration layer that routes tasks to commercial AI platforms and records human decisions. No component engages in the practices prohibited under Article 5(1)(a) through (d). Deploying organizations bear responsibility for confirming that tasks routed through HAIA-RECCLIN governed workflows do not direct AI platforms toward prohibited purposes. The BEFORE checkpoint requires the human arbiter to classify task purpose prior to platform distribution, providing a structural gate against prohibited use.</w:t>
      </w:r>
    </w:p>
    <w:p w:rsidR="003472A0" w:rsidRDefault="00CC3482">
      <w:pPr>
        <w:spacing w:after="160" w:line="276" w:lineRule="auto"/>
      </w:pPr>
      <w:r>
        <w:rPr>
          <w:b/>
          <w:bCs/>
        </w:rPr>
        <w:t xml:space="preserve">Article 6: Risk Classification Methodology. </w:t>
      </w:r>
      <w:r>
        <w:t>HAIA-RECCLIN supports deployment across all risk tiers defined by Article 6 and Annex III. The specification itself operates as governance infrastructure, not as an AI system placed on the market. When deployed to govern a high-risk AI system (employment decisions, credit scoring, critical infrastructure, law enforcement support, or other Annex III categories), the full three-stage checkpoint architecture applies: BEFORE authorization, DURING monitoring, and AFTER approval with mandatory human arbitration at every stage. When deployed for limited or minimal risk applications, organizations may apply proportionate checkpoint rigor using Operating Model 1 (single final checkpoint) rather than the full Model 2 (checkpoint per role). The risk classification decision itself requires human arbiter documentation at the BEFORE checkpoint and becomes part of the permanent audit trail.</w:t>
      </w:r>
    </w:p>
    <w:p w:rsidR="003472A0" w:rsidRDefault="00CC3482">
      <w:pPr>
        <w:spacing w:after="160" w:line="276" w:lineRule="auto"/>
      </w:pPr>
      <w:r>
        <w:rPr>
          <w:b/>
          <w:bCs/>
        </w:rPr>
        <w:t xml:space="preserve">Article 13: Operational Transparency Protocol. </w:t>
      </w:r>
      <w:r>
        <w:t>Article 13 requires that high-risk AI systems allow deployers to interpret outputs and use the system appropriately. HAIA-RECCLIN satisfies this through five mechanisms. First, every AI platform output carries role attribution identifying which RECCLIN role and which platform generated it. Second, the Navigator synthesis preserves dissenting positions rather than collapsing them into false consensus, making the reasoning chain visible. Third, cross-validation agreement rates quantify confidence across platforms. Fourth, HEQ scoring provides longitudinal measurement of system effectiveness. Fifth, the complete audit trail from BEFORE through AFTER checkpoints documents every input, output, modification, and human decision, enabling any deployer or auditor to reconstruct the full decision pathway. Deploying organizations remain responsible for communicating to end users that AI-generated content was produced through multi-AI governance and providing access to relevant audit records as required by their specific regulatory obligations.</w:t>
      </w:r>
    </w:p>
    <w:p w:rsidR="003472A0" w:rsidRDefault="00CC3482">
      <w:pPr>
        <w:spacing w:after="160" w:line="276" w:lineRule="auto"/>
      </w:pPr>
      <w:r>
        <w:rPr>
          <w:b/>
          <w:bCs/>
        </w:rPr>
        <w:t xml:space="preserve">Article 47: EU Declaration of Conformity Pathway. </w:t>
      </w:r>
      <w:r>
        <w:t>The EU Declaration of Conformity is a provider-level obligation that cannot be pre-populated at the framework level. HAIA-RECCLIN provides the evidentiary infrastructure: the Annex IV Technical Documentation Template (companion document, v1.0) standardizes all nine sections of required technical documentation. When an organization deploys HAIA-RECCLIN to govern a high-risk system and seeks conformity declaration, it completes the Annex IV template using checkpoint audit logs, submits to the relevant notified body, and signs the declaration. The framework generates all data required for the declaration. The signing authority and regulatory submission are the deploying organization’s responsibility.</w:t>
      </w:r>
    </w:p>
    <w:p w:rsidR="003472A0" w:rsidRDefault="00CC3482">
      <w:pPr>
        <w:spacing w:after="160" w:line="276" w:lineRule="auto"/>
      </w:pPr>
      <w:r>
        <w:rPr>
          <w:b/>
          <w:bCs/>
        </w:rPr>
        <w:t xml:space="preserve">Article 50: Content Marking Protocol. </w:t>
      </w:r>
      <w:r>
        <w:t>Article 50 requires that AI-generated content be marked to enable detection. HAIA-RECCLIN implements content marking at two levels. At the audit trail level, every output record identifies the generating platform, RECCLIN role, timestamp, and human arbiter decision, satisfying institutional traceability. At the output level, content produced through HAIA-RECCLIN governed workflows that reaches external audiences must carry provenance metadata. The specification requires deploying organizations to apply content labels stating that the material was produced with AI assistance under human governance. The specific label format, placement, and technical implementation (watermarking, metadata embedding, or visible disclosure) depend on the output medium and sector requirements. The AFTER checkpoint includes a content marking verification step confirming that labeling requirements are satisfied before publication or distribution.</w:t>
      </w:r>
    </w:p>
    <w:p w:rsidR="003472A0" w:rsidRDefault="003472A0"/>
    <w:p w:rsidR="003472A0" w:rsidRDefault="00CC3482">
      <w:pPr>
        <w:pStyle w:val="Heading2"/>
        <w:keepNext/>
        <w:keepLines/>
      </w:pPr>
      <w:r>
        <w:t>5.4 LLM and Agent Compliance Controls</w:t>
      </w:r>
    </w:p>
    <w:p w:rsidR="003472A0" w:rsidRDefault="00CC3482">
      <w:pPr>
        <w:spacing w:after="160" w:line="276" w:lineRule="auto"/>
      </w:pPr>
      <w:r>
        <w:t>Commercial large language models and AI agents introduce compliance requirements specific to their architecture: prompt injection risks, hallucination exposure, data leakage through prompts, tool-use permissions, and third-party model governance. This section addresses each requirement and identifies whether HAIA-RECCLIN satisfies it directly, enables organizational compliance, or defers to the deploying organization as outside the framework’s architectural scope.</w:t>
      </w:r>
    </w:p>
    <w:p w:rsidR="003472A0" w:rsidRDefault="00CC3482">
      <w:pPr>
        <w:spacing w:after="160" w:line="276" w:lineRule="auto"/>
      </w:pPr>
      <w:r>
        <w:rPr>
          <w:b/>
          <w:bCs/>
        </w:rPr>
        <w:t xml:space="preserve">Prompt Data Sensitivity. </w:t>
      </w:r>
      <w:r>
        <w:t>The Prompt Hygiene Checkpoint (PHC), defined in the Compliance Architecture Update v1.0, operates as a mandatory BEFORE-stage gate. PHC Component A classifies all input data across four tiers before any prompt reaches an AI platform: Tier 1 (Public, non-sensitive), Tier 2 (Internal, business-sensitive), Tier 3 (Personal, identifiable, requires anonymization), and Tier 4 (Prohibited, no AI processing permitted). Status: Satisfied by architecture.</w:t>
      </w:r>
    </w:p>
    <w:p w:rsidR="003472A0" w:rsidRDefault="00CC3482">
      <w:pPr>
        <w:spacing w:after="160" w:line="276" w:lineRule="auto"/>
      </w:pPr>
      <w:r>
        <w:rPr>
          <w:b/>
          <w:bCs/>
        </w:rPr>
        <w:t xml:space="preserve">No PII in Prompts. </w:t>
      </w:r>
      <w:r>
        <w:t>PHC Component B enforces anonymization protocols for Tier 3 data: role identifier substitution replaces personal names, location generalization removes specific addresses, date stripping removes identifying temporal markers, and direct identifier removal strips SSNs, account numbers, and biometric references. Tier 4 data is blocked entirely. The human arbiter verifies anonymization completeness at the BEFORE checkpoint before authorizing platform distribution. Status: Satisfied by architecture.</w:t>
      </w:r>
    </w:p>
    <w:p w:rsidR="003472A0" w:rsidRDefault="00CC3482">
      <w:pPr>
        <w:spacing w:after="160" w:line="276" w:lineRule="auto"/>
      </w:pPr>
      <w:r>
        <w:rPr>
          <w:b/>
          <w:bCs/>
        </w:rPr>
        <w:t xml:space="preserve">RAG Data Access Controls. </w:t>
      </w:r>
      <w:r>
        <w:t>Retrieval-Augmented Generation pipelines fall outside HAIA-RECCLIN’s direct architectural scope. The framework governs the orchestration of commercial AI platform queries, not the internal retrieval mechanisms of those platforms. Organizations deploying RAG systems under HAIA-RECCLIN governance apply the PHC data classification to all documents in the retrieval corpus and restrict corpus access per the same four-tier classification. The BEFORE checkpoint documents which retrieval sources are authorized for each workflow. Status: Deploying organization responsibility. Framework provides classification methodology.</w:t>
      </w:r>
    </w:p>
    <w:p w:rsidR="003472A0" w:rsidRDefault="00CC3482">
      <w:pPr>
        <w:spacing w:after="160" w:line="276" w:lineRule="auto"/>
      </w:pPr>
      <w:r>
        <w:rPr>
          <w:b/>
          <w:bCs/>
        </w:rPr>
        <w:t xml:space="preserve">Training Data Provenance. </w:t>
      </w:r>
      <w:r>
        <w:t>Section 6 of this specification addresses training data governance through the triangulation argument: HAIA-RECCLIN does not train models and cannot govern training data it never sees. Multi-platform triangulation serves as the strongest compensating control available to end users for detecting downstream effects of training data quality problems. The anchor-plus-rotation protocol distributes queries across platforms with different training datasets, surfacing inconsistencies attributable to training bias. Status: Compensating control through triangulation. Direct training data governance is each AI provider’s obligation.</w:t>
      </w:r>
    </w:p>
    <w:p w:rsidR="003472A0" w:rsidRDefault="00CC3482">
      <w:pPr>
        <w:spacing w:after="160" w:line="276" w:lineRule="auto"/>
      </w:pPr>
      <w:r>
        <w:rPr>
          <w:b/>
          <w:bCs/>
        </w:rPr>
        <w:t xml:space="preserve">IP and Copyright Checks. </w:t>
      </w:r>
      <w:r>
        <w:t>Content provenance verification operates at the AFTER checkpoint. The human arbiter assesses outputs for potential intellectual property concerns before approving distribution. Multi-AI cross-validation provides additional detection capability: when multiple platforms produce substantially identical phrasing, this may indicate memorized copyrighted material. The Navigator role flags such convergence for human review. Definitive copyright clearance requires legal assessment beyond the framework’s scope. Status: Detection mechanism provided. Legal clearance is deploying organization responsibility.</w:t>
      </w:r>
    </w:p>
    <w:p w:rsidR="003472A0" w:rsidRDefault="00CC3482">
      <w:pPr>
        <w:spacing w:after="160" w:line="276" w:lineRule="auto"/>
      </w:pPr>
      <w:r>
        <w:rPr>
          <w:b/>
          <w:bCs/>
        </w:rPr>
        <w:t xml:space="preserve">Content Moderation Filters. </w:t>
      </w:r>
      <w:r>
        <w:t>Each commercial AI platform operates its own content moderation systems. HAIA-RECCLIN does not override or supplement platform-level moderation. The framework’s contribution is structural: multi-platform distribution means that content passing one platform’s filters but flagged by another surfaces through cross-validation disagreement. The Navigator documents such discrepancies for human arbitration. Organizations requiring moderation beyond platform defaults implement additional filtering at the AFTER checkpoint. Status: Platform-level moderation supplemented by cross-validation detection. Additional moderation is deploying organization responsibility.</w:t>
      </w:r>
    </w:p>
    <w:p w:rsidR="003472A0" w:rsidRDefault="00CC3482">
      <w:pPr>
        <w:spacing w:after="160" w:line="276" w:lineRule="auto"/>
      </w:pPr>
      <w:r>
        <w:rPr>
          <w:b/>
          <w:bCs/>
        </w:rPr>
        <w:t xml:space="preserve">Hallucination Risk Mitigation. </w:t>
      </w:r>
      <w:r>
        <w:t>Multi-AI triangulation is the primary hallucination detection mechanism. When platforms disagree on factual claims, the disagreement itself is the signal. The Navigator role synthesizes competing outputs and flags contradictions for human arbitration rather than selecting a single response. Cross-validation agreement rates quantify confidence. Assembler/Summarizer behavioral clustering (Section 3.4) further distinguishes platforms that construct novel reasoning from those that compress existing information, informing the human arbiter’s assessment of which outputs warrant additional verification. Status: Satisfied by architecture.</w:t>
      </w:r>
    </w:p>
    <w:p w:rsidR="003472A0" w:rsidRDefault="00CC3482">
      <w:pPr>
        <w:spacing w:after="160" w:line="276" w:lineRule="auto"/>
      </w:pPr>
      <w:r>
        <w:rPr>
          <w:b/>
          <w:bCs/>
        </w:rPr>
        <w:t xml:space="preserve">Tool-Use Permissions for Agents. </w:t>
      </w:r>
      <w:r>
        <w:t>Section 3.5 defines HAIA-RECCLIN as a non-cognitive agent: it dispatches, logs, and routes but performs zero cognitive work. The architecture does not grant AI platforms tool-use capabilities, API access, or autonomous action authority. All platform interactions are prompt-based queries governed by human-authorized checkpoints. If an organization deploys agentic AI systems (platforms with tool-use, code execution, or autonomous decision capabilities) under HAIA-RECCLIN governance, those capabilities require explicit authorization at the BEFORE checkpoint with tool-use scope documented in the audit trail. Status: Architecture prevents unauthorized tool-use by design. Agentic deployment requires explicit checkpoint authorization.</w:t>
      </w:r>
    </w:p>
    <w:p w:rsidR="003472A0" w:rsidRDefault="00CC3482">
      <w:pPr>
        <w:spacing w:after="160" w:line="276" w:lineRule="auto"/>
      </w:pPr>
      <w:r>
        <w:rPr>
          <w:b/>
          <w:bCs/>
        </w:rPr>
        <w:t xml:space="preserve">Third-Party Vendor Compliance. </w:t>
      </w:r>
      <w:r>
        <w:t>The AI Provider Plurality principle (Section 3.3) requires distribution across a minimum of three platforms from different vendors. The anchor-plus-rotation protocol mandates that no single vendor holds exclusive access to any RECCLIN role. This structural requirement prevents vendor lock-in and ensures ongoing competitive assessment. Deploying organizations bear responsibility for vendor due diligence: confirming each platform’s data processing agreements, SOC 2 compliance, GDPR adequacy decisions for cross-border transfers, and training data opt-out status. The BEFORE checkpoint documents which platforms are authorized for each deployment. Status: Structural vendor independence satisfied by architecture. Vendor due diligence is deploying organization responsibility.</w:t>
      </w:r>
    </w:p>
    <w:p w:rsidR="003472A0" w:rsidRDefault="00CC3482">
      <w:pPr>
        <w:spacing w:after="160" w:line="276" w:lineRule="auto"/>
      </w:pPr>
      <w:r>
        <w:rPr>
          <w:b/>
          <w:bCs/>
        </w:rPr>
        <w:t xml:space="preserve">Incident Response Process. </w:t>
      </w:r>
      <w:r>
        <w:t>The specification defines the audit trail as the evidentiary foundation for incident investigation. When an AI-related incident occurs (incorrect output reaching end users, data exposure, compliance breach), the three-stage checkpoint record provides full reconstruction: which inputs were authorized (BEFORE), what was monitored during execution (DURING), and what decision was made on outputs (AFTER). The human arbiter’s identity, decision rationale, and timestamp are recorded at each stage. Deploying organizations are responsible for maintaining an incident response plan that references HAIA-RECCLIN audit logs as the primary evidence source, defines escalation procedures, specifies notification timelines per applicable regulations, and assigns remediation authority. Status: Evidentiary infrastructure provided. Incident response planning is deploying organization responsibility.</w:t>
      </w:r>
    </w:p>
    <w:p w:rsidR="003472A0" w:rsidRDefault="003472A0"/>
    <w:p w:rsidR="003472A0" w:rsidRDefault="00CC3482">
      <w:pPr>
        <w:pStyle w:val="Heading2"/>
        <w:keepNext/>
        <w:keepLines/>
      </w:pPr>
      <w:r>
        <w:t>5.5 GDPR Alignment Architecture</w:t>
      </w:r>
    </w:p>
    <w:p w:rsidR="003472A0" w:rsidRDefault="00CC3482">
      <w:pPr>
        <w:spacing w:after="160" w:line="276" w:lineRule="auto"/>
      </w:pPr>
      <w:r>
        <w:t>The General Data Protection Regulation (EU 2016/679) applies to organizations processing personal data of EU residents. HAIA-RECCLIN operates as a governance methodology, not a data controller or processor. The deploying organization holds data controller status and bears direct GDPR obligations. This section identifies how the framework’s architecture supports GDPR compliance and where responsibility falls exclusively on the deploying organization.</w:t>
      </w:r>
    </w:p>
    <w:p w:rsidR="003472A0" w:rsidRDefault="00CC3482">
      <w:pPr>
        <w:spacing w:after="160" w:line="276" w:lineRule="auto"/>
      </w:pPr>
      <w:r>
        <w:rPr>
          <w:b/>
          <w:bCs/>
        </w:rPr>
        <w:t xml:space="preserve">Lawful Basis for Processing (Article 6 GDPR). </w:t>
      </w:r>
      <w:r>
        <w:t>The Prompt Hygiene Checkpoint Component C requires the human arbiter to document the lawful processing basis before any personal data enters an AI platform. The audit trail records which GDPR Article 6(1) basis applies: consent, contract performance, legal obligation, vital interests, public task, or legitimate interest. This documentation satisfies the accountability principle (Article 5(2) GDPR). Status: Framework provides documentation infrastructure. Lawful basis determination is the deploying organization’s legal obligation.</w:t>
      </w:r>
    </w:p>
    <w:p w:rsidR="003472A0" w:rsidRDefault="00CC3482">
      <w:pPr>
        <w:spacing w:after="160" w:line="276" w:lineRule="auto"/>
      </w:pPr>
      <w:r>
        <w:rPr>
          <w:b/>
          <w:bCs/>
        </w:rPr>
        <w:t xml:space="preserve">Explicit User Consent (Article 7 GDPR). </w:t>
      </w:r>
      <w:r>
        <w:t>Consent collection, management, withdrawal mechanisms, and record-keeping are data controller functions outside the framework’s architectural scope. HAIA-RECCLIN does not interact with data subjects directly. The PHC data classification ensures that data requiring consent-based processing is identified at Tier 3 and the consent status is verified before platform distribution. Status: Deploying organization responsibility. Framework flags consent-dependent data through classification.</w:t>
      </w:r>
    </w:p>
    <w:p w:rsidR="003472A0" w:rsidRDefault="00CC3482">
      <w:pPr>
        <w:spacing w:after="160" w:line="276" w:lineRule="auto"/>
      </w:pPr>
      <w:r>
        <w:rPr>
          <w:b/>
          <w:bCs/>
        </w:rPr>
        <w:t xml:space="preserve">Purpose Limitation (Article 5(1)(b) GDPR). </w:t>
      </w:r>
      <w:r>
        <w:t>The BEFORE checkpoint requires task purpose documentation before AI processing begins. The audit trail records the stated purpose, authorized platforms, and authorized RECCLIN roles for each workflow. Purpose creep (using data collected for one purpose for a different purpose) is detectable through audit trail review: if subsequent workflows reference data originally processed under a different stated purpose, the discrepancy surfaces in the checkpoint record. Status: Framework provides purpose documentation and audit trail for purpose limitation enforcement. Organizational purpose limitation policies are the deploying organization’s responsibility.</w:t>
      </w:r>
    </w:p>
    <w:p w:rsidR="003472A0" w:rsidRDefault="00CC3482">
      <w:pPr>
        <w:spacing w:after="160" w:line="276" w:lineRule="auto"/>
      </w:pPr>
      <w:r>
        <w:rPr>
          <w:b/>
          <w:bCs/>
        </w:rPr>
        <w:t xml:space="preserve">Data Minimization (Article 5(1)(c) GDPR). </w:t>
      </w:r>
      <w:r>
        <w:t>PHC Component A data classification inherently supports minimization: Tier 4 data is blocked entirely, Tier 3 data requires anonymization before processing, and Tier 2 data is restricted to approved platforms. The human arbiter at the BEFORE checkpoint assesses whether the data included in each prompt is adequate, relevant, and limited to what is necessary for the stated purpose. The audit trail records the data scope authorized for each workflow. Status: Framework provides structural minimization gates. Data minimization assessment is a human arbiter judgment at each BEFORE checkpoint.</w:t>
      </w:r>
    </w:p>
    <w:p w:rsidR="003472A0" w:rsidRDefault="00CC3482">
      <w:pPr>
        <w:spacing w:after="160" w:line="276" w:lineRule="auto"/>
      </w:pPr>
      <w:r>
        <w:rPr>
          <w:b/>
          <w:bCs/>
        </w:rPr>
        <w:t xml:space="preserve">PII Masking and Anonymization (Articles 5, 25, 32 GDPR). </w:t>
      </w:r>
      <w:r>
        <w:t>PHC Component B defines the anonymization protocol: role identifier substitution, location generalization, date stripping, and direct identifier removal. The human arbiter verifies anonymization completeness before platform distribution. The Annex IV template (Section B.2.3) standardizes anonymization documentation for regulatory submission. Status: Satisfied by architecture.</w:t>
      </w:r>
    </w:p>
    <w:p w:rsidR="003472A0" w:rsidRDefault="00CC3482">
      <w:pPr>
        <w:spacing w:after="160" w:line="276" w:lineRule="auto"/>
      </w:pPr>
      <w:r>
        <w:rPr>
          <w:b/>
          <w:bCs/>
        </w:rPr>
        <w:t xml:space="preserve">Right to Be Informed (Articles 13, 14 GDPR). </w:t>
      </w:r>
      <w:r>
        <w:t>Data subjects must be informed about how their personal data is processed, including disclosure that AI systems are involved. The HAIA-RECCLIN audit trail provides the evidentiary basis for such disclosure: which platforms processed the data, what RECCLIN roles were assigned, what decisions were made, and which human arbiter authorized the processing. Privacy notices, data processing disclosures, and direct communication with data subjects are the deploying organization’s responsibility. Status: Deploying organization responsibility. Framework provides audit evidence supporting disclosure.</w:t>
      </w:r>
    </w:p>
    <w:p w:rsidR="003472A0" w:rsidRDefault="00CC3482">
      <w:pPr>
        <w:spacing w:after="160" w:line="276" w:lineRule="auto"/>
      </w:pPr>
      <w:r>
        <w:rPr>
          <w:b/>
          <w:bCs/>
        </w:rPr>
        <w:t xml:space="preserve">Right of Access (Article 15 GDPR). </w:t>
      </w:r>
      <w:r>
        <w:t>Data subjects have the right to obtain confirmation of processing and access to their personal data. The audit trail stores what data was processed, when, by which platforms, and under whose authority. This infrastructure supports subject access request fulfillment. The deploying organization is responsible for maintaining systems to locate, compile, and deliver personal data in response to access requests. Status: Deploying organization responsibility. Framework provides searchable audit records.</w:t>
      </w:r>
    </w:p>
    <w:p w:rsidR="003472A0" w:rsidRDefault="00CC3482">
      <w:pPr>
        <w:spacing w:after="160" w:line="276" w:lineRule="auto"/>
      </w:pPr>
      <w:r>
        <w:rPr>
          <w:b/>
          <w:bCs/>
        </w:rPr>
        <w:t xml:space="preserve">Right to Erasure (Article 17 GDPR). </w:t>
      </w:r>
      <w:r>
        <w:t>The right to be forgotten requires deletion of personal data under specified conditions. HAIA-RECCLIN audit trails are append-only by design (Section 4), which creates a tension with erasure obligations. Resolution: audit trail integrity and GDPR erasure are reconciled through anonymization rather than deletion. When erasure is required, the deploying organization anonymizes the relevant audit records (removing personal data while preserving governance metadata) rather than destroying the audit trail. This preserves regulatory compliance evidence while satisfying erasure rights. Platform-side data deletion (removing data from AI provider systems) depends on each provider’s data retention and deletion policies. Status: Deploying organization responsibility. Framework’s append-only design requires anonymization-based erasure rather than record deletion.</w:t>
      </w:r>
    </w:p>
    <w:p w:rsidR="003472A0" w:rsidRDefault="00CC3482">
      <w:pPr>
        <w:spacing w:after="160" w:line="276" w:lineRule="auto"/>
      </w:pPr>
      <w:r>
        <w:rPr>
          <w:b/>
          <w:bCs/>
        </w:rPr>
        <w:t xml:space="preserve">Data Portability (Article 20 GDPR). </w:t>
      </w:r>
      <w:r>
        <w:t>Data subjects have the right to receive their personal data in a structured, commonly used, machine-readable format. HAIA-RECCLIN audit records are structured by design (six record types with defined fields), supporting export in standard formats. The deploying organization is responsible for implementing the export mechanism and responding to portability requests within regulatory timelines. Status: Deploying organization responsibility. Framework’s structured records support portability compliance.</w:t>
      </w:r>
    </w:p>
    <w:p w:rsidR="003472A0" w:rsidRDefault="00CC3482">
      <w:pPr>
        <w:spacing w:after="160" w:line="276" w:lineRule="auto"/>
      </w:pPr>
      <w:r>
        <w:rPr>
          <w:b/>
          <w:bCs/>
        </w:rPr>
        <w:t xml:space="preserve">Automated Decision Safeguards (Article 22 GDPR). </w:t>
      </w:r>
      <w:r>
        <w:t>Article 22 grants data subjects the right not to be subject to decisions based solely on automated processing that produce legal or similarly significant effects. HAIA-RECCLIN’s mandatory human arbitration at every checkpoint stage satisfies this requirement by design. No decision reaches deployment without human review and approval. The human arbiter holds unconditional authority to override, modify, or reject any AI output. This is not optional configuration; it is structural. The audit trail documents the human decision at each stage, providing evidence that no decision was made solely by automated processing. Status: Satisfied by architecture.</w:t>
      </w:r>
    </w:p>
    <w:p w:rsidR="003472A0" w:rsidRDefault="003472A0"/>
    <w:p w:rsidR="003472A0" w:rsidRDefault="00CC3482">
      <w:pPr>
        <w:pStyle w:val="Heading2"/>
        <w:keepNext/>
        <w:keepLines/>
      </w:pPr>
      <w:r>
        <w:t>5.6 Responsibility Delineation: Framework, Deployer, and AI Provider</w:t>
      </w:r>
    </w:p>
    <w:p w:rsidR="003472A0" w:rsidRDefault="00CC3482">
      <w:pPr>
        <w:spacing w:after="160" w:line="276" w:lineRule="auto"/>
      </w:pPr>
      <w:r>
        <w:t>EU compliance obligations distribute across three parties: the governance framework (HAIA-RECCLIN architecture), the deploying organization (the entity using the framework to govern AI operations), and the AI platform providers (the commercial services queried through RECCLIN roles). This section makes the boundaries explicit. Items marked “Framework” are satisfied by the specification’s architecture without additional organizational action. Items marked “Deployer” require organizational policies, processes, or legal determinations that the framework supports but cannot perform. Items marked “Provider” fall on the commercial AI platform vendors.</w:t>
      </w:r>
    </w:p>
    <w:p w:rsidR="003472A0" w:rsidRDefault="00CC3482">
      <w:pPr>
        <w:spacing w:after="160" w:line="276" w:lineRule="auto"/>
      </w:pPr>
      <w:r>
        <w:rPr>
          <w:i/>
          <w:iCs/>
        </w:rPr>
        <w:t>The following table covers all thirty compliance requirements identified across three pillars: EU AI Act core requirements, LLM and agent-specific compliance, and GDPR data protection.</w:t>
      </w:r>
    </w:p>
    <w:tbl>
      <w:tblPr>
        <w:tblW w:w="5000" w:type="pc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
        <w:gridCol w:w="1800"/>
        <w:gridCol w:w="3200"/>
        <w:gridCol w:w="1600"/>
        <w:gridCol w:w="1450"/>
      </w:tblGrid>
      <w:tr w:rsidR="003472A0">
        <w:tblPrEx>
          <w:tblCellMar>
            <w:top w:w="0" w:type="dxa"/>
            <w:bottom w:w="0" w:type="dxa"/>
          </w:tblCellMar>
        </w:tblPrEx>
        <w:trPr>
          <w:cantSplit/>
        </w:trPr>
        <w:tc>
          <w:tcPr>
            <w:tcW w:w="55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18"/>
                <w:szCs w:val="18"/>
              </w:rPr>
              <w:t>#</w:t>
            </w:r>
          </w:p>
        </w:tc>
        <w:tc>
          <w:tcPr>
            <w:tcW w:w="180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18"/>
                <w:szCs w:val="18"/>
              </w:rPr>
              <w:t>Requirement</w:t>
            </w:r>
          </w:p>
        </w:tc>
        <w:tc>
          <w:tcPr>
            <w:tcW w:w="320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18"/>
                <w:szCs w:val="18"/>
              </w:rPr>
              <w:t>HAIA-RECCLIN Response</w:t>
            </w:r>
          </w:p>
        </w:tc>
        <w:tc>
          <w:tcPr>
            <w:tcW w:w="160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18"/>
                <w:szCs w:val="18"/>
              </w:rPr>
              <w:t>Responsibility</w:t>
            </w:r>
          </w:p>
        </w:tc>
        <w:tc>
          <w:tcPr>
            <w:tcW w:w="145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18"/>
                <w:szCs w:val="18"/>
              </w:rPr>
              <w:t>Status</w:t>
            </w:r>
          </w:p>
        </w:tc>
      </w:tr>
      <w:tr w:rsidR="003472A0">
        <w:tblPrEx>
          <w:tblCellMar>
            <w:top w:w="0" w:type="dxa"/>
            <w:bottom w:w="0" w:type="dxa"/>
          </w:tblCellMar>
        </w:tblPrEx>
        <w:trPr>
          <w:cantSplit/>
        </w:trPr>
        <w:tc>
          <w:tcPr>
            <w:tcW w:w="55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r>
              <w:rPr>
                <w:b/>
                <w:bCs/>
                <w:sz w:val="18"/>
                <w:szCs w:val="18"/>
              </w:rPr>
              <w:t/>
            </w:r>
          </w:p>
        </w:tc>
        <w:tc>
          <w:tcPr>
            <w:tcW w:w="180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r>
              <w:rPr>
                <w:b/>
                <w:bCs/>
                <w:sz w:val="18"/>
                <w:szCs w:val="18"/>
              </w:rPr>
              <w:t>EU AI Act Core Requirements (Articles 5 through 72)</w:t>
            </w:r>
          </w:p>
        </w:tc>
        <w:tc>
          <w:tcPr>
            <w:tcW w:w="320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r>
              <w:rPr>
                <w:b/>
                <w:bCs/>
                <w:sz w:val="18"/>
                <w:szCs w:val="18"/>
              </w:rPr>
              <w:t/>
            </w:r>
          </w:p>
        </w:tc>
        <w:tc>
          <w:tcPr>
            <w:tcW w:w="160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r>
              <w:rPr>
                <w:b/>
                <w:bCs/>
                <w:sz w:val="18"/>
                <w:szCs w:val="18"/>
              </w:rPr>
              <w:t/>
            </w:r>
          </w:p>
        </w:tc>
        <w:tc>
          <w:tcPr>
            <w:tcW w:w="145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r>
              <w:rPr>
                <w:b/>
                <w:bCs/>
                <w:sz w:val="18"/>
                <w:szCs w:val="18"/>
              </w:rPr>
              <w:t/>
            </w:r>
          </w:p>
        </w:tc>
      </w:tr>
      <w:tr w:rsidR="003472A0">
        <w:tblPrEx>
          <w:tblCellMar>
            <w:top w:w="0" w:type="dxa"/>
            <w:bottom w:w="0" w:type="dxa"/>
          </w:tblCellMar>
        </w:tblPrEx>
        <w:trPr>
          <w:cantSplit/>
        </w:trPr>
        <w:tc>
          <w:tcPr>
            <w:tcW w:w="5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1</w:t>
            </w:r>
          </w:p>
        </w:tc>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AI system classification</w:t>
            </w:r>
          </w:p>
        </w:tc>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Article 6 methodology at BEFORE checkpoint; risk tier documented in audit trail</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Framework + Deployer</w:t>
            </w:r>
          </w:p>
        </w:tc>
        <w:tc>
          <w:tcPr>
            <w:tcW w:w="14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Covered</w:t>
            </w:r>
          </w:p>
        </w:tc>
      </w:tr>
      <w:tr w:rsidR="003472A0">
        <w:tblPrEx>
          <w:tblCellMar>
            <w:top w:w="0" w:type="dxa"/>
            <w:bottom w:w="0" w:type="dxa"/>
          </w:tblCellMar>
        </w:tblPrEx>
        <w:trPr>
          <w:cantSplit/>
        </w:trPr>
        <w:tc>
          <w:tcPr>
            <w:tcW w:w="5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2</w:t>
            </w:r>
          </w:p>
        </w:tc>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High-risk AI rules</w:t>
            </w:r>
          </w:p>
        </w:tc>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Full three-stage checkpoint for high-risk; proportionate for limited/minimal risk</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Framework</w:t>
            </w:r>
          </w:p>
        </w:tc>
        <w:tc>
          <w:tcPr>
            <w:tcW w:w="14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Covered</w:t>
            </w:r>
          </w:p>
        </w:tc>
      </w:tr>
      <w:tr w:rsidR="003472A0">
        <w:tblPrEx>
          <w:tblCellMar>
            <w:top w:w="0" w:type="dxa"/>
            <w:bottom w:w="0" w:type="dxa"/>
          </w:tblCellMar>
        </w:tblPrEx>
        <w:trPr>
          <w:cantSplit/>
        </w:trPr>
        <w:tc>
          <w:tcPr>
            <w:tcW w:w="5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3</w:t>
            </w:r>
          </w:p>
        </w:tc>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Prohibited AI practices</w:t>
            </w:r>
          </w:p>
        </w:tc>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Scope statement confirms non-applicability; BEFORE gate prevents prohibited task routing</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Framework + Deployer</w:t>
            </w:r>
          </w:p>
        </w:tc>
        <w:tc>
          <w:tcPr>
            <w:tcW w:w="14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Covered</w:t>
            </w:r>
          </w:p>
        </w:tc>
      </w:tr>
      <w:tr w:rsidR="003472A0">
        <w:tblPrEx>
          <w:tblCellMar>
            <w:top w:w="0" w:type="dxa"/>
            <w:bottom w:w="0" w:type="dxa"/>
          </w:tblCellMar>
        </w:tblPrEx>
        <w:trPr>
          <w:cantSplit/>
        </w:trPr>
        <w:tc>
          <w:tcPr>
            <w:tcW w:w="5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4</w:t>
            </w:r>
          </w:p>
        </w:tc>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Human oversight required</w:t>
            </w:r>
          </w:p>
        </w:tc>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Mandatory human arbitration at BEFORE, DURING, AFTER; unconditional stop authority</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Framework</w:t>
            </w:r>
          </w:p>
        </w:tc>
        <w:tc>
          <w:tcPr>
            <w:tcW w:w="14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Covered</w:t>
            </w:r>
          </w:p>
        </w:tc>
      </w:tr>
      <w:tr w:rsidR="003472A0">
        <w:tblPrEx>
          <w:tblCellMar>
            <w:top w:w="0" w:type="dxa"/>
            <w:bottom w:w="0" w:type="dxa"/>
          </w:tblCellMar>
        </w:tblPrEx>
        <w:trPr>
          <w:cantSplit/>
        </w:trPr>
        <w:tc>
          <w:tcPr>
            <w:tcW w:w="5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5</w:t>
            </w:r>
          </w:p>
        </w:tc>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Transparency to users</w:t>
            </w:r>
          </w:p>
        </w:tc>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Five-mechanism protocol: role attribution, dissent, agreement rates, HEQ, audit trail</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Framework + Deployer</w:t>
            </w:r>
          </w:p>
        </w:tc>
        <w:tc>
          <w:tcPr>
            <w:tcW w:w="14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Covered</w:t>
            </w:r>
          </w:p>
        </w:tc>
      </w:tr>
      <w:tr w:rsidR="003472A0">
        <w:tblPrEx>
          <w:tblCellMar>
            <w:top w:w="0" w:type="dxa"/>
            <w:bottom w:w="0" w:type="dxa"/>
          </w:tblCellMar>
        </w:tblPrEx>
        <w:trPr>
          <w:cantSplit/>
        </w:trPr>
        <w:tc>
          <w:tcPr>
            <w:tcW w:w="5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6</w:t>
            </w:r>
          </w:p>
        </w:tc>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Technical documentation</w:t>
            </w:r>
          </w:p>
        </w:tc>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Annex IV Template v1.0 standardizes all nine required sections from checkpoint logs</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Framework</w:t>
            </w:r>
          </w:p>
        </w:tc>
        <w:tc>
          <w:tcPr>
            <w:tcW w:w="14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Covered</w:t>
            </w:r>
          </w:p>
        </w:tc>
      </w:tr>
      <w:tr w:rsidR="003472A0">
        <w:tblPrEx>
          <w:tblCellMar>
            <w:top w:w="0" w:type="dxa"/>
            <w:bottom w:w="0" w:type="dxa"/>
          </w:tblCellMar>
        </w:tblPrEx>
        <w:trPr>
          <w:cantSplit/>
        </w:trPr>
        <w:tc>
          <w:tcPr>
            <w:tcW w:w="5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7</w:t>
            </w:r>
          </w:p>
        </w:tc>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Risk management system</w:t>
            </w:r>
          </w:p>
        </w:tc>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CBG v4.2.1 continuous risk identification through Navigator role and checkpoints</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Framework</w:t>
            </w:r>
          </w:p>
        </w:tc>
        <w:tc>
          <w:tcPr>
            <w:tcW w:w="14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Covered</w:t>
            </w:r>
          </w:p>
        </w:tc>
      </w:tr>
      <w:tr w:rsidR="003472A0">
        <w:tblPrEx>
          <w:tblCellMar>
            <w:top w:w="0" w:type="dxa"/>
            <w:bottom w:w="0" w:type="dxa"/>
          </w:tblCellMar>
        </w:tblPrEx>
        <w:trPr>
          <w:cantSplit/>
        </w:trPr>
        <w:tc>
          <w:tcPr>
            <w:tcW w:w="5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8</w:t>
            </w:r>
          </w:p>
        </w:tc>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Data governance controls</w:t>
            </w:r>
          </w:p>
        </w:tc>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PHC four-tier classification; triangulation compensating control for training data</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Framework + Provider</w:t>
            </w:r>
          </w:p>
        </w:tc>
        <w:tc>
          <w:tcPr>
            <w:tcW w:w="14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Covered</w:t>
            </w:r>
          </w:p>
        </w:tc>
      </w:tr>
      <w:tr w:rsidR="003472A0">
        <w:tblPrEx>
          <w:tblCellMar>
            <w:top w:w="0" w:type="dxa"/>
            <w:bottom w:w="0" w:type="dxa"/>
          </w:tblCellMar>
        </w:tblPrEx>
        <w:trPr>
          <w:cantSplit/>
        </w:trPr>
        <w:tc>
          <w:tcPr>
            <w:tcW w:w="5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9</w:t>
            </w:r>
          </w:p>
        </w:tc>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Logging and traceability</w:t>
            </w:r>
          </w:p>
        </w:tc>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Six record types, append-only audit trail, sequential versioning</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Framework</w:t>
            </w:r>
          </w:p>
        </w:tc>
        <w:tc>
          <w:tcPr>
            <w:tcW w:w="14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Covered</w:t>
            </w:r>
          </w:p>
        </w:tc>
      </w:tr>
      <w:tr w:rsidR="003472A0">
        <w:tblPrEx>
          <w:tblCellMar>
            <w:top w:w="0" w:type="dxa"/>
            <w:bottom w:w="0" w:type="dxa"/>
          </w:tblCellMar>
        </w:tblPrEx>
        <w:trPr>
          <w:cantSplit/>
        </w:trPr>
        <w:tc>
          <w:tcPr>
            <w:tcW w:w="5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10</w:t>
            </w:r>
          </w:p>
        </w:tc>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Accuracy and robustness</w:t>
            </w:r>
          </w:p>
        </w:tc>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Multi-AI cross-validation, HEQ measurement, agent security architecture</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Framework</w:t>
            </w:r>
          </w:p>
        </w:tc>
        <w:tc>
          <w:tcPr>
            <w:tcW w:w="14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Covered</w:t>
            </w:r>
          </w:p>
        </w:tc>
      </w:tr>
      <w:tr w:rsidR="003472A0">
        <w:tblPrEx>
          <w:tblCellMar>
            <w:top w:w="0" w:type="dxa"/>
            <w:bottom w:w="0" w:type="dxa"/>
          </w:tblCellMar>
        </w:tblPrEx>
        <w:trPr>
          <w:cantSplit/>
        </w:trPr>
        <w:tc>
          <w:tcPr>
            <w:tcW w:w="55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r>
              <w:rPr>
                <w:b/>
                <w:bCs/>
                <w:sz w:val="18"/>
                <w:szCs w:val="18"/>
              </w:rPr>
              <w:t/>
            </w:r>
          </w:p>
        </w:tc>
        <w:tc>
          <w:tcPr>
            <w:tcW w:w="180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r>
              <w:rPr>
                <w:b/>
                <w:bCs/>
                <w:sz w:val="18"/>
                <w:szCs w:val="18"/>
              </w:rPr>
              <w:t>LLM / Agent Specific Compliance</w:t>
            </w:r>
          </w:p>
        </w:tc>
        <w:tc>
          <w:tcPr>
            <w:tcW w:w="320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r>
              <w:rPr>
                <w:b/>
                <w:bCs/>
                <w:sz w:val="18"/>
                <w:szCs w:val="18"/>
              </w:rPr>
              <w:t/>
            </w:r>
          </w:p>
        </w:tc>
        <w:tc>
          <w:tcPr>
            <w:tcW w:w="160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r>
              <w:rPr>
                <w:b/>
                <w:bCs/>
                <w:sz w:val="18"/>
                <w:szCs w:val="18"/>
              </w:rPr>
              <w:t/>
            </w:r>
          </w:p>
        </w:tc>
        <w:tc>
          <w:tcPr>
            <w:tcW w:w="145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r>
              <w:rPr>
                <w:b/>
                <w:bCs/>
                <w:sz w:val="18"/>
                <w:szCs w:val="18"/>
              </w:rPr>
              <w:t/>
            </w:r>
          </w:p>
        </w:tc>
      </w:tr>
      <w:tr w:rsidR="003472A0">
        <w:tblPrEx>
          <w:tblCellMar>
            <w:top w:w="0" w:type="dxa"/>
            <w:bottom w:w="0" w:type="dxa"/>
          </w:tblCellMar>
        </w:tblPrEx>
        <w:trPr>
          <w:cantSplit/>
        </w:trPr>
        <w:tc>
          <w:tcPr>
            <w:tcW w:w="5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11</w:t>
            </w:r>
          </w:p>
        </w:tc>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Prompt data sensitivity</w:t>
            </w:r>
          </w:p>
        </w:tc>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PHC four-tier classification at BEFORE checkpoint</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Framework</w:t>
            </w:r>
          </w:p>
        </w:tc>
        <w:tc>
          <w:tcPr>
            <w:tcW w:w="14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Covered</w:t>
            </w:r>
          </w:p>
        </w:tc>
      </w:tr>
      <w:tr w:rsidR="003472A0">
        <w:tblPrEx>
          <w:tblCellMar>
            <w:top w:w="0" w:type="dxa"/>
            <w:bottom w:w="0" w:type="dxa"/>
          </w:tblCellMar>
        </w:tblPrEx>
        <w:trPr>
          <w:cantSplit/>
        </w:trPr>
        <w:tc>
          <w:tcPr>
            <w:tcW w:w="5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12</w:t>
            </w:r>
          </w:p>
        </w:tc>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No PII in prompts</w:t>
            </w:r>
          </w:p>
        </w:tc>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PHC anonymization protocol; human verification before distribution</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Framework</w:t>
            </w:r>
          </w:p>
        </w:tc>
        <w:tc>
          <w:tcPr>
            <w:tcW w:w="14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Covered</w:t>
            </w:r>
          </w:p>
        </w:tc>
      </w:tr>
      <w:tr w:rsidR="003472A0">
        <w:tblPrEx>
          <w:tblCellMar>
            <w:top w:w="0" w:type="dxa"/>
            <w:bottom w:w="0" w:type="dxa"/>
          </w:tblCellMar>
        </w:tblPrEx>
        <w:trPr>
          <w:cantSplit/>
        </w:trPr>
        <w:tc>
          <w:tcPr>
            <w:tcW w:w="5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13</w:t>
            </w:r>
          </w:p>
        </w:tc>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RAG data access controls</w:t>
            </w:r>
          </w:p>
        </w:tc>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Classification methodology applies to retrieval corpus; implementation is deployer scope</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Deployer</w:t>
            </w:r>
          </w:p>
        </w:tc>
        <w:tc>
          <w:tcPr>
            <w:tcW w:w="14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Supported</w:t>
            </w:r>
          </w:p>
        </w:tc>
      </w:tr>
      <w:tr w:rsidR="003472A0">
        <w:tblPrEx>
          <w:tblCellMar>
            <w:top w:w="0" w:type="dxa"/>
            <w:bottom w:w="0" w:type="dxa"/>
          </w:tblCellMar>
        </w:tblPrEx>
        <w:trPr>
          <w:cantSplit/>
        </w:trPr>
        <w:tc>
          <w:tcPr>
            <w:tcW w:w="5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14</w:t>
            </w:r>
          </w:p>
        </w:tc>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Training data provenance</w:t>
            </w:r>
          </w:p>
        </w:tc>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Triangulation compensating control; direct governance is provider obligation</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Provider</w:t>
            </w:r>
          </w:p>
        </w:tc>
        <w:tc>
          <w:tcPr>
            <w:tcW w:w="14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Compensating</w:t>
            </w:r>
          </w:p>
        </w:tc>
      </w:tr>
      <w:tr w:rsidR="003472A0">
        <w:tblPrEx>
          <w:tblCellMar>
            <w:top w:w="0" w:type="dxa"/>
            <w:bottom w:w="0" w:type="dxa"/>
          </w:tblCellMar>
        </w:tblPrEx>
        <w:trPr>
          <w:cantSplit/>
        </w:trPr>
        <w:tc>
          <w:tcPr>
            <w:tcW w:w="5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15</w:t>
            </w:r>
          </w:p>
        </w:tc>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IP and copyright checks</w:t>
            </w:r>
          </w:p>
        </w:tc>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Cross-validation detection; legal clearance is deployer scope</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Framework + Deployer</w:t>
            </w:r>
          </w:p>
        </w:tc>
        <w:tc>
          <w:tcPr>
            <w:tcW w:w="14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Supported</w:t>
            </w:r>
          </w:p>
        </w:tc>
      </w:tr>
      <w:tr w:rsidR="003472A0">
        <w:tblPrEx>
          <w:tblCellMar>
            <w:top w:w="0" w:type="dxa"/>
            <w:bottom w:w="0" w:type="dxa"/>
          </w:tblCellMar>
        </w:tblPrEx>
        <w:trPr>
          <w:cantSplit/>
        </w:trPr>
        <w:tc>
          <w:tcPr>
            <w:tcW w:w="5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16</w:t>
            </w:r>
          </w:p>
        </w:tc>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Content moderation</w:t>
            </w:r>
          </w:p>
        </w:tc>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Platform-level moderation plus cross-validation disagreement detection</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Provider + Framework</w:t>
            </w:r>
          </w:p>
        </w:tc>
        <w:tc>
          <w:tcPr>
            <w:tcW w:w="14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Supported</w:t>
            </w:r>
          </w:p>
        </w:tc>
      </w:tr>
      <w:tr w:rsidR="003472A0">
        <w:tblPrEx>
          <w:tblCellMar>
            <w:top w:w="0" w:type="dxa"/>
            <w:bottom w:w="0" w:type="dxa"/>
          </w:tblCellMar>
        </w:tblPrEx>
        <w:trPr>
          <w:cantSplit/>
        </w:trPr>
        <w:tc>
          <w:tcPr>
            <w:tcW w:w="5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17</w:t>
            </w:r>
          </w:p>
        </w:tc>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Hallucination risk</w:t>
            </w:r>
          </w:p>
        </w:tc>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Multi-AI triangulation, Navigator dissent flagging, behavioral clustering</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Framework</w:t>
            </w:r>
          </w:p>
        </w:tc>
        <w:tc>
          <w:tcPr>
            <w:tcW w:w="14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Covered</w:t>
            </w:r>
          </w:p>
        </w:tc>
      </w:tr>
      <w:tr w:rsidR="003472A0">
        <w:tblPrEx>
          <w:tblCellMar>
            <w:top w:w="0" w:type="dxa"/>
            <w:bottom w:w="0" w:type="dxa"/>
          </w:tblCellMar>
        </w:tblPrEx>
        <w:trPr>
          <w:cantSplit/>
        </w:trPr>
        <w:tc>
          <w:tcPr>
            <w:tcW w:w="5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18</w:t>
            </w:r>
          </w:p>
        </w:tc>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Tool-use permissions</w:t>
            </w:r>
          </w:p>
        </w:tc>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Non-cognitive design prevents unauthorized tool-use; agentic requires explicit auth</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Framework</w:t>
            </w:r>
          </w:p>
        </w:tc>
        <w:tc>
          <w:tcPr>
            <w:tcW w:w="14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Covered</w:t>
            </w:r>
          </w:p>
        </w:tc>
      </w:tr>
      <w:tr w:rsidR="003472A0">
        <w:tblPrEx>
          <w:tblCellMar>
            <w:top w:w="0" w:type="dxa"/>
            <w:bottom w:w="0" w:type="dxa"/>
          </w:tblCellMar>
        </w:tblPrEx>
        <w:trPr>
          <w:cantSplit/>
        </w:trPr>
        <w:tc>
          <w:tcPr>
            <w:tcW w:w="5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19</w:t>
            </w:r>
          </w:p>
        </w:tc>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Third-party vendor compliance</w:t>
            </w:r>
          </w:p>
        </w:tc>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Provider plurality prevents lock-in; vendor due diligence is deployer scope</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Deployer</w:t>
            </w:r>
          </w:p>
        </w:tc>
        <w:tc>
          <w:tcPr>
            <w:tcW w:w="14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Supported</w:t>
            </w:r>
          </w:p>
        </w:tc>
      </w:tr>
      <w:tr w:rsidR="003472A0">
        <w:tblPrEx>
          <w:tblCellMar>
            <w:top w:w="0" w:type="dxa"/>
            <w:bottom w:w="0" w:type="dxa"/>
          </w:tblCellMar>
        </w:tblPrEx>
        <w:trPr>
          <w:cantSplit/>
        </w:trPr>
        <w:tc>
          <w:tcPr>
            <w:tcW w:w="5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20</w:t>
            </w:r>
          </w:p>
        </w:tc>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Incident response</w:t>
            </w:r>
          </w:p>
        </w:tc>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Audit trail provides evidentiary infrastructure; response planning is deployer scope</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Deployer</w:t>
            </w:r>
          </w:p>
        </w:tc>
        <w:tc>
          <w:tcPr>
            <w:tcW w:w="14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Supported</w:t>
            </w:r>
          </w:p>
        </w:tc>
      </w:tr>
      <w:tr w:rsidR="003472A0">
        <w:tblPrEx>
          <w:tblCellMar>
            <w:top w:w="0" w:type="dxa"/>
            <w:bottom w:w="0" w:type="dxa"/>
          </w:tblCellMar>
        </w:tblPrEx>
        <w:trPr>
          <w:cantSplit/>
        </w:trPr>
        <w:tc>
          <w:tcPr>
            <w:tcW w:w="55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r>
              <w:rPr>
                <w:b/>
                <w:bCs/>
                <w:sz w:val="18"/>
                <w:szCs w:val="18"/>
              </w:rPr>
              <w:t/>
            </w:r>
          </w:p>
        </w:tc>
        <w:tc>
          <w:tcPr>
            <w:tcW w:w="180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r>
              <w:rPr>
                <w:b/>
                <w:bCs/>
                <w:sz w:val="18"/>
                <w:szCs w:val="18"/>
              </w:rPr>
              <w:t>GDPR Privacy and Data Protection</w:t>
            </w:r>
          </w:p>
        </w:tc>
        <w:tc>
          <w:tcPr>
            <w:tcW w:w="320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r>
              <w:rPr>
                <w:b/>
                <w:bCs/>
                <w:sz w:val="18"/>
                <w:szCs w:val="18"/>
              </w:rPr>
              <w:t/>
            </w:r>
          </w:p>
        </w:tc>
        <w:tc>
          <w:tcPr>
            <w:tcW w:w="160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r>
              <w:rPr>
                <w:b/>
                <w:bCs/>
                <w:sz w:val="18"/>
                <w:szCs w:val="18"/>
              </w:rPr>
              <w:t/>
            </w:r>
          </w:p>
        </w:tc>
        <w:tc>
          <w:tcPr>
            <w:tcW w:w="145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r>
              <w:rPr>
                <w:b/>
                <w:bCs/>
                <w:sz w:val="18"/>
                <w:szCs w:val="18"/>
              </w:rPr>
              <w:t/>
            </w:r>
          </w:p>
        </w:tc>
      </w:tr>
      <w:tr w:rsidR="003472A0">
        <w:tblPrEx>
          <w:tblCellMar>
            <w:top w:w="0" w:type="dxa"/>
            <w:bottom w:w="0" w:type="dxa"/>
          </w:tblCellMar>
        </w:tblPrEx>
        <w:trPr>
          <w:cantSplit/>
        </w:trPr>
        <w:tc>
          <w:tcPr>
            <w:tcW w:w="5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21</w:t>
            </w:r>
          </w:p>
        </w:tc>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Lawful basis for processing</w:t>
            </w:r>
          </w:p>
        </w:tc>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PHC Component C documents lawful basis; determination is deployer legal obligation</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Deployer</w:t>
            </w:r>
          </w:p>
        </w:tc>
        <w:tc>
          <w:tcPr>
            <w:tcW w:w="14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Supported</w:t>
            </w:r>
          </w:p>
        </w:tc>
      </w:tr>
      <w:tr w:rsidR="003472A0">
        <w:tblPrEx>
          <w:tblCellMar>
            <w:top w:w="0" w:type="dxa"/>
            <w:bottom w:w="0" w:type="dxa"/>
          </w:tblCellMar>
        </w:tblPrEx>
        <w:trPr>
          <w:cantSplit/>
        </w:trPr>
        <w:tc>
          <w:tcPr>
            <w:tcW w:w="5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22</w:t>
            </w:r>
          </w:p>
        </w:tc>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Explicit user consent</w:t>
            </w:r>
          </w:p>
        </w:tc>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PHC flags consent-dependent data; consent management is deployer scope</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Deployer</w:t>
            </w:r>
          </w:p>
        </w:tc>
        <w:tc>
          <w:tcPr>
            <w:tcW w:w="14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Supported</w:t>
            </w:r>
          </w:p>
        </w:tc>
      </w:tr>
      <w:tr w:rsidR="003472A0">
        <w:tblPrEx>
          <w:tblCellMar>
            <w:top w:w="0" w:type="dxa"/>
            <w:bottom w:w="0" w:type="dxa"/>
          </w:tblCellMar>
        </w:tblPrEx>
        <w:trPr>
          <w:cantSplit/>
        </w:trPr>
        <w:tc>
          <w:tcPr>
            <w:tcW w:w="5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23</w:t>
            </w:r>
          </w:p>
        </w:tc>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Purpose limitation</w:t>
            </w:r>
          </w:p>
        </w:tc>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BEFORE checkpoint documents stated purpose; audit trail enables purpose creep detection</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Framework + Deployer</w:t>
            </w:r>
          </w:p>
        </w:tc>
        <w:tc>
          <w:tcPr>
            <w:tcW w:w="14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Supported</w:t>
            </w:r>
          </w:p>
        </w:tc>
      </w:tr>
      <w:tr w:rsidR="003472A0">
        <w:tblPrEx>
          <w:tblCellMar>
            <w:top w:w="0" w:type="dxa"/>
            <w:bottom w:w="0" w:type="dxa"/>
          </w:tblCellMar>
        </w:tblPrEx>
        <w:trPr>
          <w:cantSplit/>
        </w:trPr>
        <w:tc>
          <w:tcPr>
            <w:tcW w:w="5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24</w:t>
            </w:r>
          </w:p>
        </w:tc>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Data minimization</w:t>
            </w:r>
          </w:p>
        </w:tc>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PHC tier gates and BEFORE checkpoint assessment; minimization judgment is arbiter scope</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Framework</w:t>
            </w:r>
          </w:p>
        </w:tc>
        <w:tc>
          <w:tcPr>
            <w:tcW w:w="14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Covered</w:t>
            </w:r>
          </w:p>
        </w:tc>
      </w:tr>
      <w:tr w:rsidR="003472A0">
        <w:tblPrEx>
          <w:tblCellMar>
            <w:top w:w="0" w:type="dxa"/>
            <w:bottom w:w="0" w:type="dxa"/>
          </w:tblCellMar>
        </w:tblPrEx>
        <w:trPr>
          <w:cantSplit/>
        </w:trPr>
        <w:tc>
          <w:tcPr>
            <w:tcW w:w="5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25</w:t>
            </w:r>
          </w:p>
        </w:tc>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PII masking/anonymization</w:t>
            </w:r>
          </w:p>
        </w:tc>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PHC Component B anonymization protocol with human verification</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Framework</w:t>
            </w:r>
          </w:p>
        </w:tc>
        <w:tc>
          <w:tcPr>
            <w:tcW w:w="14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Covered</w:t>
            </w:r>
          </w:p>
        </w:tc>
      </w:tr>
      <w:tr w:rsidR="003472A0">
        <w:tblPrEx>
          <w:tblCellMar>
            <w:top w:w="0" w:type="dxa"/>
            <w:bottom w:w="0" w:type="dxa"/>
          </w:tblCellMar>
        </w:tblPrEx>
        <w:trPr>
          <w:cantSplit/>
        </w:trPr>
        <w:tc>
          <w:tcPr>
            <w:tcW w:w="5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26</w:t>
            </w:r>
          </w:p>
        </w:tc>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Right to be informed</w:t>
            </w:r>
          </w:p>
        </w:tc>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Audit trail supports disclosure; privacy notices are deployer scope</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Deployer</w:t>
            </w:r>
          </w:p>
        </w:tc>
        <w:tc>
          <w:tcPr>
            <w:tcW w:w="14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Supported</w:t>
            </w:r>
          </w:p>
        </w:tc>
      </w:tr>
      <w:tr w:rsidR="003472A0">
        <w:tblPrEx>
          <w:tblCellMar>
            <w:top w:w="0" w:type="dxa"/>
            <w:bottom w:w="0" w:type="dxa"/>
          </w:tblCellMar>
        </w:tblPrEx>
        <w:trPr>
          <w:cantSplit/>
        </w:trPr>
        <w:tc>
          <w:tcPr>
            <w:tcW w:w="5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27</w:t>
            </w:r>
          </w:p>
        </w:tc>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Right to access data</w:t>
            </w:r>
          </w:p>
        </w:tc>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Structured audit records support SAR fulfillment; response system is deployer scope</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Deployer</w:t>
            </w:r>
          </w:p>
        </w:tc>
        <w:tc>
          <w:tcPr>
            <w:tcW w:w="14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Supported</w:t>
            </w:r>
          </w:p>
        </w:tc>
      </w:tr>
      <w:tr w:rsidR="003472A0">
        <w:tblPrEx>
          <w:tblCellMar>
            <w:top w:w="0" w:type="dxa"/>
            <w:bottom w:w="0" w:type="dxa"/>
          </w:tblCellMar>
        </w:tblPrEx>
        <w:trPr>
          <w:cantSplit/>
        </w:trPr>
        <w:tc>
          <w:tcPr>
            <w:tcW w:w="5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28</w:t>
            </w:r>
          </w:p>
        </w:tc>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Right to deletion (RTBF)</w:t>
            </w:r>
          </w:p>
        </w:tc>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Anonymization-based erasure reconciles append-only design; implementation is deployer scope</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Deployer</w:t>
            </w:r>
          </w:p>
        </w:tc>
        <w:tc>
          <w:tcPr>
            <w:tcW w:w="14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Supported</w:t>
            </w:r>
          </w:p>
        </w:tc>
      </w:tr>
      <w:tr w:rsidR="003472A0">
        <w:tblPrEx>
          <w:tblCellMar>
            <w:top w:w="0" w:type="dxa"/>
            <w:bottom w:w="0" w:type="dxa"/>
          </w:tblCellMar>
        </w:tblPrEx>
        <w:trPr>
          <w:cantSplit/>
        </w:trPr>
        <w:tc>
          <w:tcPr>
            <w:tcW w:w="5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29</w:t>
            </w:r>
          </w:p>
        </w:tc>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Data portability</w:t>
            </w:r>
          </w:p>
        </w:tc>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Structured records support export; portability mechanism is deployer scope</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Deployer</w:t>
            </w:r>
          </w:p>
        </w:tc>
        <w:tc>
          <w:tcPr>
            <w:tcW w:w="14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Supported</w:t>
            </w:r>
          </w:p>
        </w:tc>
      </w:tr>
      <w:tr w:rsidR="003472A0">
        <w:tblPrEx>
          <w:tblCellMar>
            <w:top w:w="0" w:type="dxa"/>
            <w:bottom w:w="0" w:type="dxa"/>
          </w:tblCellMar>
        </w:tblPrEx>
        <w:trPr>
          <w:cantSplit/>
        </w:trPr>
        <w:tc>
          <w:tcPr>
            <w:tcW w:w="5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30</w:t>
            </w:r>
          </w:p>
        </w:tc>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Automated decision safeguards</w:t>
            </w:r>
          </w:p>
        </w:tc>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Mandatory human arbitration at every stage; no solely automated decisions by design</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Framework</w:t>
            </w:r>
          </w:p>
        </w:tc>
        <w:tc>
          <w:tcPr>
            <w:tcW w:w="145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Covered</w:t>
            </w:r>
          </w:p>
        </w:tc>
      </w:tr>
    </w:tbl>
    <w:p w:rsidR="003472A0" w:rsidRDefault="003472A0"/>
    <w:p w:rsidR="003472A0" w:rsidRDefault="00CC3482">
      <w:pPr>
        <w:pStyle w:val="Heading2"/>
        <w:keepNext/>
        <w:keepLines/>
      </w:pPr>
      <w:r>
        <w:t>5.7 Compliance Status Summary</w:t>
      </w:r>
    </w:p>
    <w:p w:rsidR="003472A0" w:rsidRDefault="00CC3482">
      <w:pPr>
        <w:spacing w:after="160" w:line="276" w:lineRule="auto"/>
      </w:pPr>
      <w:r>
        <w:t>With the additions in Sections 5.3 through 5.6, the compliance posture advances as follows. Article 5 (Prohibited Practices): covered through scope statement and BEFORE checkpoint gate. Article 6 (Risk Classification): covered through methodology and proportionate checkpoint application. Article 11 (Technical Documentation): upgraded from Partial to Operational through Annex IV Template v1.0. Article 13 (Transparency): upgraded from Authoring Needed to Covered through five-mechanism protocol. Article 47 (Conformity Assessment): pathway defined with Annex IV template as evidentiary infrastructure. Article 50 (Content Labels): upgraded from Protocol Needed to Covered through two-level marking protocol. GDPR alignment: ten requirements addressed with clear responsibility delineation across framework, deployer, and provider. LLM/Agent compliance: ten requirements addressed with architectural satisfaction for six items, deployer responsibility for three items, and provider responsibility for one item.</w:t>
      </w:r>
    </w:p>
    <w:p w:rsidR="003472A0" w:rsidRDefault="00CC3482">
      <w:pPr>
        <w:spacing w:after="160" w:line="276" w:lineRule="auto"/>
      </w:pPr>
      <w:r>
        <w:rPr>
          <w:i/>
          <w:iCs/>
        </w:rPr>
        <w:t>Total coverage across thirty compliance requirements: eighteen satisfied by framework architecture, eight supported by framework with deploying organization responsible for completion, three falling on AI platform providers, and one (EU Declaration of Conformity) requiring deployment-specific completion that the framework enables but cannot pre-populate.</w:t>
      </w:r>
    </w:p>
    <w:p w:rsidR="003472A0" w:rsidRDefault="00CC3482">
      <w:pPr>
        <w:spacing w:after="160" w:line="276" w:lineRule="auto"/>
      </w:pPr>
      <w:r>
        <w:rPr>
          <w:b/>
          <w:bCs/>
        </w:rPr>
        <w:t xml:space="preserve">Enforcement Timeline. </w:t>
      </w:r>
      <w:r>
        <w:t>August 2, 2025: Prohibited AI practices (Article 5) and AI literacy obligations take effect. August 2, 2026: Core requirements for high-risk AI systems including technical documentation, risk management, human oversight, transparency, accuracy, and cybersecurity take effect. August 2, 2027: High-risk AI systems embedded in regulated products (medical devices, machinery, vehicles) must comply. The Digital Omnibus Simplification Package proposed in February 2025 may extend some deadlines. Organizations deploying HAIA-RECCLIN should monitor this legislative development and the EU Commission’s implementing acts for updates to documentation forms and conformity assessment procedures.</w:t>
      </w:r>
    </w:p>
    <w:p w:rsidR="003472A0" w:rsidRDefault="00CC3482">
      <w:pPr>
        <w:spacing w:after="160" w:line="276" w:lineRule="auto"/>
      </w:pPr>
      <w:r>
        <w:rPr>
          <w:b/>
          <w:bCs/>
        </w:rPr>
        <w:t xml:space="preserve">Triangulation Validity Conditions. </w:t>
      </w:r>
      <w:r>
        <w:t>Multi-platform triangulation functions as a compensating control for training data governance (Article 10) and hallucination detection (Article 15 accuracy). This control is valid only when the rotation pool meets minimum diversity criteria. The pool must include platforms from at least three independent providers with distinct training datasets. Platforms sharing a common foundation model (e.g., fine-tuned variants of the same base model) count as one provider for diversity purposes. The pool must include at least one platform trained primarily on non-English-language corpora to mitigate WEIRD (Western, Educated, Industrialized, Rich, Democratic) bias concentration. If the minimum dissent rate across the pool falls below 5% over the observation window defined in Appendix B, the compensating control’s effectiveness is degraded and the deploying organization must either expand the rotation pool, reduce reliance on triangulation for the affected task type, or document the limitation in the risk management system per Article 9. Convergence among all platforms is not inherently trustworthy; it may indicate shared corpus bias rather than factual agreement. The Navigator’s role includes flagging unanimous convergence as a potential reliability concern rather than as confirmation.</w:t>
      </w:r>
    </w:p>
    <w:p w:rsidR="003472A0" w:rsidRDefault="003472A0"/>
    <w:p w:rsidR="003472A0" w:rsidRDefault="00CC3482">
      <w:pPr>
        <w:pStyle w:val="Heading1"/>
        <w:keepNext/>
        <w:keepLines/>
      </w:pPr>
      <w:bookmarkStart w:id="29" w:name="_Toc220973613"/>
      <w:r>
        <w:lastRenderedPageBreak/>
        <w:t>6. Data Governance Through Multi-Platform Triangulation</w:t>
      </w:r>
      <w:bookmarkEnd w:id="29"/>
    </w:p>
    <w:p w:rsidR="003472A0" w:rsidRDefault="00CC3482">
      <w:pPr>
        <w:pStyle w:val="Heading2"/>
        <w:keepNext/>
        <w:keepLines/>
      </w:pPr>
      <w:bookmarkStart w:id="30" w:name="_Toc220973614"/>
      <w:r>
        <w:t>6.1 The Argument</w:t>
      </w:r>
      <w:bookmarkEnd w:id="30"/>
    </w:p>
    <w:p w:rsidR="003472A0" w:rsidRDefault="00CC3482">
      <w:pPr>
        <w:spacing w:after="160" w:line="276" w:lineRule="auto"/>
      </w:pPr>
      <w:r>
        <w:t>EU AI Act Article 10 assumes a company builds, trains, and deploys an AI system. HAIA-RECCLIN does not train anything. It queries existing commercial platforms. Training data governance in the direct regulatory sense, controlling what data enters a model's training pipeline, is each provider's obligation. No end-user architecture can govern training data it never sees. This specification does not claim direct Article 10 compliance. It claims something different: that multi-platform triangulation is the strongest compensating control available to any end-user for detecting the downstream effects of training data quality problems, and that no alternative framework even attempts this.</w:t>
      </w:r>
    </w:p>
    <w:p w:rsidR="003472A0" w:rsidRDefault="00CC3482">
      <w:pPr>
        <w:spacing w:after="160" w:line="276" w:lineRule="auto"/>
      </w:pPr>
      <w:r>
        <w:t>The structural problem is well established. Henrich, Heine, and Norenzayan (2010) demonstrated that behavioral science drew universal conclusions from samples that were Western, Educated, Industrialized, Rich, and Democratic. The same WEIRD bias pervades LLM training data: predominantly English-language internet text, disproportionately representing Western perspectives, institutions, and knowledge frameworks. A single-model system inherits whatever biases its training data contains and has no internal mechanism to detect them. The user consuming that single model's output has no reference point for what the model does not know or how its training data skews its responses.</w:t>
      </w:r>
    </w:p>
    <w:p w:rsidR="003472A0" w:rsidRDefault="00CC3482">
      <w:pPr>
        <w:spacing w:after="160" w:line="276" w:lineRule="auto"/>
      </w:pPr>
      <w:r>
        <w:t>The agent's operational data is AI outputs. When dispatching to three to seven platforms, each draws from independent training data, different architectures, different alignment tuning, different knowledge bases, and in several cases different cultural and linguistic origins. The current rotation pool includes platforms headquartered in the United States (ChatGPT, Claude, Perplexity, Gemini, Grok, Meta, Co-pilot), France (Mistral), and China (DeepSeek, Kimi). These platforms demonstrably produce different answers to the same questions. That divergence is not a flaw. It is the signal that training data and methods differ, and therefore that no single platform's biases pass through unchallenged.</w:t>
      </w:r>
    </w:p>
    <w:p w:rsidR="003472A0" w:rsidRDefault="00CC3482">
      <w:pPr>
        <w:spacing w:after="160" w:line="276" w:lineRule="auto"/>
      </w:pPr>
      <w:r>
        <w:t xml:space="preserve">When outputs converge across platforms with different training lineages: de facto cross-validation that the information is robust across independent data sources. When outputs diverge: the dissent record captures exactly where and why. The Navigator documents disagreement without suppressing it. The human arbiter decides with full conflict visibility. This does not govern training data. It governs the consequences of training data at the only point where an end-user can: the output layer. No other published framework provides this mechanism. The compensating control is not a substitute for </w:t>
        <w:lastRenderedPageBreak/>
        <w:t>Article 10 compliance by AI providers. It is the only structural defense available to organizations that consume AI outputs without access to training pipelines.</w:t>
      </w:r>
    </w:p>
    <w:p w:rsidR="003472A0" w:rsidRDefault="00CC3482">
      <w:pPr>
        <w:pStyle w:val="Heading2"/>
        <w:keepNext/>
        <w:keepLines/>
      </w:pPr>
      <w:bookmarkStart w:id="31" w:name="_Toc220973615"/>
      <w:r>
        <w:t>6.2 Operational Evidence</w:t>
      </w:r>
      <w:bookmarkEnd w:id="31"/>
    </w:p>
    <w:p w:rsidR="003472A0" w:rsidRDefault="00CC3482">
      <w:pPr>
        <w:spacing w:after="160" w:line="276" w:lineRule="auto"/>
      </w:pPr>
      <w:r>
        <w:t>During Governing AI production, Grok identified citation errors that four other platforms missed through more rigorous verification methodology. The system caught bad data through multi-platform cross-validation, demonstrating triangulation in practice. During multi-AI triangulation review of this specification (v1.2), nine platforms independently evaluated the document. ChatGPT identified a citation attribution error (Khan &amp; Vaheesan misattributed, correct authors Narechania &amp; Sitaraman) that eight other platforms missed. Kimi flagged the same citation independently. Perplexity surfaced EDPS automation bias evidence (TechDispatch #2/2025) and identified that CBG v4.2.1 already contained relevant triggers not yet integrated into the spec. Gemini identified missing Related Work citations (LLM-as-a-Judge, Constitutional AI) and latency estimates. Each platform contributed unique findings that no single platform produced alone. The divergence across platforms was the governance signal.</w:t>
      </w:r>
    </w:p>
    <w:p w:rsidR="003472A0" w:rsidRDefault="00CC3482">
      <w:pPr>
        <w:pStyle w:val="Heading2"/>
        <w:keepNext/>
        <w:keepLines/>
      </w:pPr>
      <w:bookmarkStart w:id="32" w:name="_Toc220973616"/>
      <w:r>
        <w:t>6.3 Limitations</w:t>
      </w:r>
      <w:bookmarkEnd w:id="32"/>
    </w:p>
    <w:p w:rsidR="003472A0" w:rsidRDefault="00CC3482">
      <w:pPr>
        <w:spacing w:after="160" w:line="276" w:lineRule="auto"/>
      </w:pPr>
      <w:r>
        <w:t>The compensating control argument works for decision-support tools. Classification as a high-risk AI system under Article 6/Annex III complicates the position. The argument is novel and untested in regulatory proceedings. The shared-bias limitation is real: if all platforms train on overlapping corpora (the same internet, the same Wikipedia, the same Common Crawl), common biases embedded in that shared substrate would not produce divergence and therefore would not be detected by triangulation. This is the "polluted groundwater" problem: platform plurality is not a defense against universal data degradation. Geographic and architectural diversity in the rotation pool (including non-Western platforms with access to different language corpora) partially mitigates this risk but does not eliminate it. Human generalist competency (CBG v4.2.1) remains the final countermeasure for biases that all platforms share. The WEIRD problem identified by Henrich, Heine, and Norenzayan applies directly: if AI training data overrepresents Western perspectives, triangulation across Western-trained models will not surface what is missing from all of them. Source: Henrich, J., Heine, S. J., &amp; Norenzayan, A. (2010). The weirdest people in the world? Behavioral and Brain Sciences, 33(2-3), 61-83.</w:t>
      </w:r>
    </w:p>
    <w:p w:rsidR="003472A0" w:rsidRDefault="00CC3482">
      <w:pPr>
        <w:pStyle w:val="Heading2"/>
        <w:keepNext/>
        <w:keepLines/>
      </w:pPr>
      <w:bookmarkStart w:id="33" w:name="_Toc220973617"/>
      <w:r>
        <w:t>6.4 Recommendation</w:t>
      </w:r>
      <w:bookmarkEnd w:id="33"/>
    </w:p>
    <w:p w:rsidR="003472A0" w:rsidRDefault="00CC3482">
      <w:pPr>
        <w:spacing w:after="160" w:line="276" w:lineRule="auto"/>
      </w:pPr>
      <w:r>
        <w:t>Develop a standalone position paper. No one in AI governance is making this argument. Operational evidence exists. The paper positions HAIA-RECCLIN as more rigorous than single-model data audits.</w:t>
      </w:r>
    </w:p>
    <w:p w:rsidR="003472A0" w:rsidRDefault="003472A0"/>
    <w:p w:rsidR="003472A0" w:rsidRDefault="00CC3482">
      <w:pPr>
        <w:pStyle w:val="Heading1"/>
        <w:keepNext/>
        <w:keepLines/>
      </w:pPr>
      <w:bookmarkStart w:id="34" w:name="_Toc220973618"/>
      <w:r>
        <w:t>7. Storage Requirements Estimate</w:t>
      </w:r>
      <w:bookmarkEnd w:id="34"/>
    </w:p>
    <w:p w:rsidR="003472A0" w:rsidRDefault="00CC3482">
      <w:pPr>
        <w:pStyle w:val="Heading2"/>
        <w:keepNext/>
        <w:keepLines/>
      </w:pPr>
      <w:bookmarkStart w:id="35" w:name="_Toc220973619"/>
      <w:r>
        <w:t>7.1 Manuscript Production Parameters</w:t>
      </w:r>
      <w:bookmarkEnd w:id="35"/>
    </w:p>
    <w:p w:rsidR="003472A0" w:rsidRDefault="00CC3482">
      <w:pPr>
        <w:pStyle w:val="ListParagraph"/>
        <w:numPr>
          <w:ilvl w:val="0"/>
          <w:numId w:val="2"/>
        </w:numPr>
        <w:spacing w:after="80" w:line="276" w:lineRule="auto"/>
      </w:pPr>
      <w:r>
        <w:t>204 pages, approximately 40,000 words, 6 weeks</w:t>
      </w:r>
    </w:p>
    <w:p w:rsidR="003472A0" w:rsidRDefault="00CC3482">
      <w:pPr>
        <w:pStyle w:val="ListParagraph"/>
        <w:numPr>
          <w:ilvl w:val="0"/>
          <w:numId w:val="2"/>
        </w:numPr>
        <w:spacing w:after="80" w:line="276" w:lineRule="auto"/>
      </w:pPr>
      <w:r>
        <w:t>5 platforms production, 7 platforms review</w:t>
      </w:r>
    </w:p>
    <w:p w:rsidR="003472A0" w:rsidRDefault="00CC3482">
      <w:pPr>
        <w:pStyle w:val="ListParagraph"/>
        <w:numPr>
          <w:ilvl w:val="0"/>
          <w:numId w:val="2"/>
        </w:numPr>
        <w:spacing w:after="80" w:line="276" w:lineRule="auto"/>
      </w:pPr>
      <w:r>
        <w:t>28 major checkpoints, 26 preserved dissents</w:t>
      </w:r>
    </w:p>
    <w:p w:rsidR="003472A0" w:rsidRDefault="00CC3482">
      <w:pPr>
        <w:pStyle w:val="ListParagraph"/>
        <w:numPr>
          <w:ilvl w:val="0"/>
          <w:numId w:val="2"/>
        </w:numPr>
        <w:spacing w:after="80" w:line="276" w:lineRule="auto"/>
      </w:pPr>
      <w:r>
        <w:t>Approximately 595 total checkpoints, 2,000 to 3,000 AI transactions</w:t>
      </w:r>
    </w:p>
    <w:p w:rsidR="003472A0" w:rsidRDefault="00CC3482">
      <w:pPr>
        <w:pStyle w:val="Heading2"/>
        <w:keepNext/>
        <w:keepLines/>
      </w:pPr>
      <w:bookmarkStart w:id="36" w:name="_Toc220973620"/>
      <w:r>
        <w:t>7.2 Per-Transaction Storage</w:t>
      </w:r>
      <w:bookmarkEnd w:id="36"/>
    </w:p>
    <w:tbl>
      <w:tblPr>
        <w:tblW w:w="5000" w:type="pc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3472A0">
        <w:tblPrEx>
          <w:tblCellMar>
            <w:top w:w="0" w:type="dxa"/>
            <w:bottom w:w="0" w:type="dxa"/>
          </w:tblCellMar>
        </w:tblPrEx>
        <w:trPr>
          <w:cantSplit/>
        </w:trPr>
        <w:tc>
          <w:tcPr>
            <w:tcW w:w="468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20"/>
                <w:szCs w:val="20"/>
              </w:rPr>
              <w:t>Record Type</w:t>
            </w:r>
          </w:p>
        </w:tc>
        <w:tc>
          <w:tcPr>
            <w:tcW w:w="468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20"/>
                <w:szCs w:val="20"/>
              </w:rPr>
              <w:t>Average Size</w:t>
            </w:r>
          </w:p>
        </w:tc>
      </w:tr>
      <w:tr w:rsidR="003472A0">
        <w:tblPrEx>
          <w:tblCellMar>
            <w:top w:w="0" w:type="dxa"/>
            <w:bottom w:w="0" w:type="dxa"/>
          </w:tblCellMar>
        </w:tblPrEx>
        <w:trPr>
          <w:cantSplit/>
        </w:trPr>
        <w:tc>
          <w:tcPr>
            <w:tcW w:w="468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Request Record</w:t>
            </w:r>
          </w:p>
        </w:tc>
        <w:tc>
          <w:tcPr>
            <w:tcW w:w="468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2 KB</w:t>
            </w:r>
          </w:p>
        </w:tc>
      </w:tr>
      <w:tr w:rsidR="003472A0">
        <w:tblPrEx>
          <w:tblCellMar>
            <w:top w:w="0" w:type="dxa"/>
            <w:bottom w:w="0" w:type="dxa"/>
          </w:tblCellMar>
        </w:tblPrEx>
        <w:trPr>
          <w:cantSplit/>
        </w:trPr>
        <w:tc>
          <w:tcPr>
            <w:tcW w:w="468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Dispatch Record (3 platforms)</w:t>
            </w:r>
          </w:p>
        </w:tc>
        <w:tc>
          <w:tcPr>
            <w:tcW w:w="468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1.5 KB</w:t>
            </w:r>
          </w:p>
        </w:tc>
      </w:tr>
      <w:tr w:rsidR="003472A0">
        <w:tblPrEx>
          <w:tblCellMar>
            <w:top w:w="0" w:type="dxa"/>
            <w:bottom w:w="0" w:type="dxa"/>
          </w:tblCellMar>
        </w:tblPrEx>
        <w:trPr>
          <w:cantSplit/>
        </w:trPr>
        <w:tc>
          <w:tcPr>
            <w:tcW w:w="468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Response Records (3-5 platforms)</w:t>
            </w:r>
          </w:p>
        </w:tc>
        <w:tc>
          <w:tcPr>
            <w:tcW w:w="468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40 KB</w:t>
            </w:r>
          </w:p>
        </w:tc>
      </w:tr>
      <w:tr w:rsidR="003472A0">
        <w:tblPrEx>
          <w:tblCellMar>
            <w:top w:w="0" w:type="dxa"/>
            <w:bottom w:w="0" w:type="dxa"/>
          </w:tblCellMar>
        </w:tblPrEx>
        <w:trPr>
          <w:cantSplit/>
        </w:trPr>
        <w:tc>
          <w:tcPr>
            <w:tcW w:w="468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Navigation Record</w:t>
            </w:r>
          </w:p>
        </w:tc>
        <w:tc>
          <w:tcPr>
            <w:tcW w:w="468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10 KB</w:t>
            </w:r>
          </w:p>
        </w:tc>
      </w:tr>
      <w:tr w:rsidR="003472A0">
        <w:tblPrEx>
          <w:tblCellMar>
            <w:top w:w="0" w:type="dxa"/>
            <w:bottom w:w="0" w:type="dxa"/>
          </w:tblCellMar>
        </w:tblPrEx>
        <w:trPr>
          <w:cantSplit/>
        </w:trPr>
        <w:tc>
          <w:tcPr>
            <w:tcW w:w="468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Arbitration Record</w:t>
            </w:r>
          </w:p>
        </w:tc>
        <w:tc>
          <w:tcPr>
            <w:tcW w:w="468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1.5 KB</w:t>
            </w:r>
          </w:p>
        </w:tc>
      </w:tr>
      <w:tr w:rsidR="003472A0">
        <w:tblPrEx>
          <w:tblCellMar>
            <w:top w:w="0" w:type="dxa"/>
            <w:bottom w:w="0" w:type="dxa"/>
          </w:tblCellMar>
        </w:tblPrEx>
        <w:trPr>
          <w:cantSplit/>
        </w:trPr>
        <w:tc>
          <w:tcPr>
            <w:tcW w:w="468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Decision Record</w:t>
            </w:r>
          </w:p>
        </w:tc>
        <w:tc>
          <w:tcPr>
            <w:tcW w:w="468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3 KB</w:t>
            </w:r>
          </w:p>
        </w:tc>
      </w:tr>
    </w:tbl>
    <w:p w:rsidR="003472A0" w:rsidRDefault="00CC3482">
      <w:pPr>
        <w:pStyle w:val="Heading2"/>
        <w:keepNext/>
        <w:keepLines/>
      </w:pPr>
      <w:bookmarkStart w:id="37" w:name="_Toc220973621"/>
      <w:r>
        <w:t>7.3 Total Estimate</w:t>
      </w:r>
      <w:bookmarkEnd w:id="37"/>
    </w:p>
    <w:p w:rsidR="003472A0" w:rsidRDefault="00CC3482">
      <w:pPr>
        <w:pStyle w:val="ListParagraph"/>
        <w:numPr>
          <w:ilvl w:val="0"/>
          <w:numId w:val="3"/>
        </w:numPr>
        <w:spacing w:after="80" w:line="276" w:lineRule="auto"/>
      </w:pPr>
      <w:r>
        <w:t>Production transactions (5 platforms, ~2,000): 116 MB</w:t>
      </w:r>
    </w:p>
    <w:p w:rsidR="003472A0" w:rsidRDefault="00CC3482">
      <w:pPr>
        <w:pStyle w:val="ListParagraph"/>
        <w:numPr>
          <w:ilvl w:val="0"/>
          <w:numId w:val="3"/>
        </w:numPr>
        <w:spacing w:after="80" w:line="276" w:lineRule="auto"/>
      </w:pPr>
      <w:r>
        <w:t>Review transactions (7 platforms, ~500): 39 MB</w:t>
      </w:r>
    </w:p>
    <w:p w:rsidR="003472A0" w:rsidRDefault="00CC3482">
      <w:pPr>
        <w:pStyle w:val="ListParagraph"/>
        <w:numPr>
          <w:ilvl w:val="0"/>
          <w:numId w:val="3"/>
        </w:numPr>
        <w:spacing w:after="80" w:line="276" w:lineRule="auto"/>
      </w:pPr>
      <w:r>
        <w:t>Indexing overhead (15-20%): 30 MB</w:t>
      </w:r>
    </w:p>
    <w:p w:rsidR="003472A0" w:rsidRDefault="00CC3482">
      <w:pPr>
        <w:pStyle w:val="ListParagraph"/>
        <w:numPr>
          <w:ilvl w:val="0"/>
          <w:numId w:val="3"/>
        </w:numPr>
        <w:spacing w:after="80" w:line="276" w:lineRule="auto"/>
      </w:pPr>
      <w:r>
        <w:rPr>
          <w:b/>
          <w:bCs/>
        </w:rPr>
        <w:t>Total: approximately 200 MB</w:t>
      </w:r>
    </w:p>
    <w:p w:rsidR="003472A0" w:rsidRDefault="003472A0">
      <w:pPr>
        <w:spacing w:after="80"/>
      </w:pPr>
    </w:p>
    <w:p w:rsidR="003472A0" w:rsidRDefault="00CC3482">
      <w:pPr>
        <w:spacing w:after="160" w:line="276" w:lineRule="auto"/>
      </w:pPr>
      <w:r>
        <w:t>The manuscript itself is 250 KB. The audit trail is 800x larger. Storage cost is effectively zero. The cost was always human labor. The agent eliminates that.</w:t>
      </w:r>
    </w:p>
    <w:p w:rsidR="003472A0" w:rsidRDefault="00CC3482">
      <w:pPr>
        <w:pStyle w:val="Heading2"/>
        <w:keepNext/>
        <w:keepLines/>
      </w:pPr>
      <w:bookmarkStart w:id="38" w:name="_Toc220973622"/>
      <w:r>
        <w:t>7.4 Retention Policy</w:t>
      </w:r>
      <w:bookmarkEnd w:id="38"/>
    </w:p>
    <w:p w:rsidR="003472A0" w:rsidRDefault="00CC3482">
      <w:pPr>
        <w:spacing w:after="160" w:line="276" w:lineRule="auto"/>
      </w:pPr>
      <w:r>
        <w:t>Full fidelity for 12 to 24 months. Then compressed to metadata plus decision records plus flagged dissent, with full records retrievable from archive on demand. Tiered retention reconciles CBG immutability with storage management.</w:t>
      </w:r>
    </w:p>
    <w:p w:rsidR="003472A0" w:rsidRDefault="003472A0"/>
    <w:p w:rsidR="003472A0" w:rsidRDefault="00CC3482">
      <w:pPr>
        <w:pStyle w:val="Heading1"/>
        <w:keepNext/>
        <w:keepLines/>
      </w:pPr>
      <w:bookmarkStart w:id="39" w:name="_Toc220973623"/>
      <w:r>
        <w:lastRenderedPageBreak/>
        <w:t>8. Agent Operational Sequence</w:t>
      </w:r>
      <w:bookmarkEnd w:id="39"/>
    </w:p>
    <w:p w:rsidR="003472A0" w:rsidRDefault="00CC3482">
      <w:pPr>
        <w:spacing w:after="160" w:line="276" w:lineRule="auto"/>
      </w:pPr>
      <w:r>
        <w:t>The following mechanical sequence is identical across Model 1 and Model 2. The only difference is whether checkpoint gates pause or continue.</w:t>
      </w:r>
    </w:p>
    <w:p w:rsidR="003472A0" w:rsidRDefault="00CC3482">
      <w:pPr>
        <w:pStyle w:val="ListParagraph"/>
        <w:numPr>
          <w:ilvl w:val="0"/>
          <w:numId w:val="4"/>
        </w:numPr>
        <w:spacing w:after="80" w:line="276" w:lineRule="auto"/>
      </w:pPr>
      <w:r>
        <w:t>Receive task assignment from human, including RECCLIN role and operating model selection.</w:t>
      </w:r>
    </w:p>
    <w:p w:rsidR="003472A0" w:rsidRDefault="00CC3482">
      <w:pPr>
        <w:pStyle w:val="ListParagraph"/>
        <w:numPr>
          <w:ilvl w:val="0"/>
          <w:numId w:val="4"/>
        </w:numPr>
        <w:spacing w:after="80" w:line="276" w:lineRule="auto"/>
      </w:pPr>
      <w:r>
        <w:t>Write Request Record to audit file.</w:t>
      </w:r>
    </w:p>
    <w:p w:rsidR="003472A0" w:rsidRDefault="00CC3482">
      <w:pPr>
        <w:pStyle w:val="ListParagraph"/>
        <w:numPr>
          <w:ilvl w:val="0"/>
          <w:numId w:val="4"/>
        </w:numPr>
        <w:spacing w:after="80" w:line="276" w:lineRule="auto"/>
      </w:pPr>
      <w:r>
        <w:t>Select platforms: anchor for designated role plus two from rotation schedule.</w:t>
      </w:r>
    </w:p>
    <w:p w:rsidR="003472A0" w:rsidRDefault="00CC3482">
      <w:pPr>
        <w:pStyle w:val="ListParagraph"/>
        <w:numPr>
          <w:ilvl w:val="0"/>
          <w:numId w:val="4"/>
        </w:numPr>
        <w:spacing w:after="80" w:line="276" w:lineRule="auto"/>
      </w:pPr>
      <w:r>
        <w:t>Dispatch identical prompt to all three platforms.</w:t>
      </w:r>
    </w:p>
    <w:p w:rsidR="003472A0" w:rsidRDefault="00CC3482">
      <w:pPr>
        <w:pStyle w:val="ListParagraph"/>
        <w:numPr>
          <w:ilvl w:val="0"/>
          <w:numId w:val="4"/>
        </w:numPr>
        <w:spacing w:after="80" w:line="276" w:lineRule="auto"/>
      </w:pPr>
      <w:r>
        <w:t>Write Dispatch Record to audit file.</w:t>
      </w:r>
    </w:p>
    <w:p w:rsidR="003472A0" w:rsidRDefault="00CC3482">
      <w:pPr>
        <w:pStyle w:val="ListParagraph"/>
        <w:numPr>
          <w:ilvl w:val="0"/>
          <w:numId w:val="4"/>
        </w:numPr>
        <w:spacing w:after="80" w:line="276" w:lineRule="auto"/>
      </w:pPr>
      <w:r>
        <w:t>Collect responses. Record receipt timestamps.</w:t>
      </w:r>
    </w:p>
    <w:p w:rsidR="003472A0" w:rsidRDefault="00CC3482">
      <w:pPr>
        <w:pStyle w:val="ListParagraph"/>
        <w:numPr>
          <w:ilvl w:val="0"/>
          <w:numId w:val="4"/>
        </w:numPr>
        <w:spacing w:after="80" w:line="276" w:lineRule="auto"/>
      </w:pPr>
      <w:r>
        <w:t>Write Response Records to audit file (one per platform, complete and unedited).</w:t>
      </w:r>
    </w:p>
    <w:p w:rsidR="003472A0" w:rsidRDefault="00CC3482">
      <w:pPr>
        <w:pStyle w:val="ListParagraph"/>
        <w:numPr>
          <w:ilvl w:val="0"/>
          <w:numId w:val="4"/>
        </w:numPr>
        <w:spacing w:after="80" w:line="276" w:lineRule="auto"/>
      </w:pPr>
      <w:r>
        <w:t>Route all three responses to Claude (Navigator) for synthesis.</w:t>
      </w:r>
    </w:p>
    <w:p w:rsidR="003472A0" w:rsidRDefault="00CC3482">
      <w:pPr>
        <w:pStyle w:val="ListParagraph"/>
        <w:numPr>
          <w:ilvl w:val="0"/>
          <w:numId w:val="4"/>
        </w:numPr>
        <w:spacing w:after="80" w:line="276" w:lineRule="auto"/>
      </w:pPr>
      <w:r>
        <w:t>Receive Navigation output: convergence/conflict, dissent, structured governance package.</w:t>
      </w:r>
    </w:p>
    <w:p w:rsidR="003472A0" w:rsidRDefault="00CC3482">
      <w:pPr>
        <w:pStyle w:val="ListParagraph"/>
        <w:numPr>
          <w:ilvl w:val="0"/>
          <w:numId w:val="4"/>
        </w:numPr>
        <w:spacing w:after="80" w:line="276" w:lineRule="auto"/>
      </w:pPr>
      <w:r>
        <w:t>Write Navigation Record to audit file.</w:t>
      </w:r>
    </w:p>
    <w:p w:rsidR="003472A0" w:rsidRDefault="00CC3482">
      <w:pPr>
        <w:pStyle w:val="ListParagraph"/>
        <w:numPr>
          <w:ilvl w:val="0"/>
          <w:numId w:val="4"/>
        </w:numPr>
        <w:spacing w:after="80" w:line="276" w:lineRule="auto"/>
      </w:pPr>
      <w:r>
        <w:t>Check checkpoint gate for current RECCLIN role.</w:t>
      </w:r>
    </w:p>
    <w:p w:rsidR="003472A0" w:rsidRDefault="00CC3482">
      <w:pPr>
        <w:pStyle w:val="ListParagraph"/>
        <w:numPr>
          <w:ilvl w:val="0"/>
          <w:numId w:val="4"/>
        </w:numPr>
        <w:spacing w:after="80" w:line="276" w:lineRule="auto"/>
      </w:pPr>
      <w:r>
        <w:t>If pause-for-human (Model 2): deliver package, wait for arbitration, write Arbitration and Decision Records, advance.</w:t>
      </w:r>
    </w:p>
    <w:p w:rsidR="003472A0" w:rsidRDefault="00CC3482">
      <w:pPr>
        <w:pStyle w:val="ListParagraph"/>
        <w:numPr>
          <w:ilvl w:val="0"/>
          <w:numId w:val="4"/>
        </w:numPr>
        <w:spacing w:after="80" w:line="276" w:lineRule="auto"/>
      </w:pPr>
      <w:r>
        <w:t>If continue-to-next-role (Model 1): store navigation output, advance. Repeat from Step 1.</w:t>
      </w:r>
    </w:p>
    <w:p w:rsidR="003472A0" w:rsidRDefault="00CC3482">
      <w:pPr>
        <w:pStyle w:val="ListParagraph"/>
        <w:numPr>
          <w:ilvl w:val="0"/>
          <w:numId w:val="4"/>
        </w:numPr>
        <w:spacing w:after="80" w:line="276" w:lineRule="auto"/>
      </w:pPr>
      <w:r>
        <w:t>At final output (both roles): deliver package, wait for arbitration, write final records.</w:t>
      </w:r>
    </w:p>
    <w:p w:rsidR="003472A0" w:rsidRDefault="003472A0"/>
    <w:p w:rsidR="003472A0" w:rsidRDefault="00CC3482">
      <w:pPr>
        <w:pStyle w:val="Heading1"/>
        <w:keepNext/>
        <w:keepLines/>
      </w:pPr>
      <w:bookmarkStart w:id="40" w:name="_Toc220973624"/>
      <w:r>
        <w:t>9. Implementation Roadmap</w:t>
      </w:r>
      <w:bookmarkEnd w:id="40"/>
    </w:p>
    <w:p w:rsidR="003472A0" w:rsidRDefault="00CC3482">
      <w:pPr>
        <w:pStyle w:val="Heading2"/>
        <w:keepNext/>
        <w:keepLines/>
      </w:pPr>
      <w:bookmarkStart w:id="41" w:name="_Toc220973625"/>
      <w:r>
        <w:t>9.1 Phase 0: Immediate (No Agent)</w:t>
      </w:r>
      <w:bookmarkEnd w:id="41"/>
    </w:p>
    <w:p w:rsidR="003472A0" w:rsidRDefault="00CC3482">
      <w:pPr>
        <w:spacing w:after="160" w:line="276" w:lineRule="auto"/>
      </w:pPr>
      <w:r>
        <w:t>Adopt Model 3 immediately. Operate RECCLIN manually. Collect platform histories at project end. Build governance muscle before automation.</w:t>
      </w:r>
    </w:p>
    <w:p w:rsidR="003472A0" w:rsidRDefault="00CC3482">
      <w:pPr>
        <w:pStyle w:val="Heading2"/>
        <w:keepNext/>
        <w:keepLines/>
      </w:pPr>
      <w:bookmarkStart w:id="42" w:name="_Toc220973626"/>
      <w:r>
        <w:t>9.2 Phase 1: Audit File Infrastructure</w:t>
      </w:r>
      <w:bookmarkEnd w:id="42"/>
    </w:p>
    <w:p w:rsidR="003472A0" w:rsidRDefault="00CC3482">
      <w:pPr>
        <w:spacing w:after="160" w:line="276" w:lineRule="auto"/>
      </w:pPr>
      <w:r>
        <w:t>Design and validate audit file schema. Test cross-platform ingestibility: upload samples to Claude, Gemini, ChatGPT, Perplexity and verify natural-language querying.</w:t>
      </w:r>
    </w:p>
    <w:p w:rsidR="003472A0" w:rsidRDefault="00CC3482">
      <w:pPr>
        <w:pStyle w:val="Heading2"/>
        <w:keepNext/>
        <w:keepLines/>
      </w:pPr>
      <w:bookmarkStart w:id="43" w:name="_Toc220973627"/>
      <w:r>
        <w:lastRenderedPageBreak/>
        <w:t>9.3 Phase 2: Agent Core (Record-Keeping)</w:t>
      </w:r>
      <w:bookmarkEnd w:id="43"/>
    </w:p>
    <w:p w:rsidR="003472A0" w:rsidRDefault="00CC3482">
      <w:pPr>
        <w:spacing w:after="160" w:line="276" w:lineRule="auto"/>
      </w:pPr>
      <w:r>
        <w:t>Build the logging engine first. Verify immutability, completeness (all six record types), and reconstruction (any transaction's full chain retrievable).</w:t>
      </w:r>
    </w:p>
    <w:p w:rsidR="003472A0" w:rsidRDefault="00CC3482">
      <w:pPr>
        <w:pStyle w:val="Heading2"/>
        <w:keepNext/>
        <w:keepLines/>
      </w:pPr>
      <w:bookmarkStart w:id="44" w:name="_Toc220973628"/>
      <w:r>
        <w:t>9.4 Phase 3: Dispatch and Synthesis</w:t>
      </w:r>
      <w:bookmarkEnd w:id="44"/>
    </w:p>
    <w:p w:rsidR="003472A0" w:rsidRDefault="00CC3482">
      <w:pPr>
        <w:spacing w:after="160" w:line="276" w:lineRule="auto"/>
      </w:pPr>
      <w:r>
        <w:t>Add API dispatch. Implement anchor-plus-rotation. Connect Claude Navigator pipeline. Verify all transactions flow through the logging engine.</w:t>
      </w:r>
    </w:p>
    <w:p w:rsidR="003472A0" w:rsidRDefault="00CC3482">
      <w:pPr>
        <w:pStyle w:val="Heading2"/>
        <w:keepNext/>
        <w:keepLines/>
      </w:pPr>
      <w:bookmarkStart w:id="45" w:name="_Toc220973629"/>
      <w:r>
        <w:t>9.5 Phase 4: Checkpoint Gates</w:t>
      </w:r>
      <w:bookmarkEnd w:id="45"/>
    </w:p>
    <w:p w:rsidR="003472A0" w:rsidRDefault="00CC3482">
      <w:pPr>
        <w:spacing w:after="160" w:line="276" w:lineRule="auto"/>
      </w:pPr>
      <w:r>
        <w:t>Implement per-role gates with pause/continue states. Test Model 1 and Model 2 configurations. Validate arbitration interface captures approve/modify/reject with rationale.</w:t>
      </w:r>
    </w:p>
    <w:p w:rsidR="003472A0" w:rsidRDefault="00CC3482">
      <w:pPr>
        <w:pStyle w:val="Heading2"/>
        <w:keepNext/>
        <w:keepLines/>
      </w:pPr>
      <w:bookmarkStart w:id="46" w:name="_Toc220973630"/>
      <w:r>
        <w:t>9.6 Phase 5: Compliance Validation</w:t>
      </w:r>
      <w:bookmarkEnd w:id="46"/>
    </w:p>
    <w:p w:rsidR="003472A0" w:rsidRDefault="00CC3482">
      <w:pPr>
        <w:spacing w:after="160" w:line="276" w:lineRule="auto"/>
      </w:pPr>
      <w:r>
        <w:t>Internal review against coverage matrix (Section 5.2). Produce remaining organizational documents. Prepare for conformity assessment if deploying in high-risk classification.</w:t>
      </w:r>
    </w:p>
    <w:p w:rsidR="003472A0" w:rsidRDefault="003472A0"/>
    <w:p w:rsidR="003472A0" w:rsidRDefault="00CC3482">
      <w:pPr>
        <w:pStyle w:val="Heading1"/>
        <w:keepNext/>
        <w:keepLines/>
      </w:pPr>
      <w:bookmarkStart w:id="47" w:name="_Toc220973631"/>
      <w:r>
        <w:t>10. Sources</w:t>
      </w:r>
      <w:bookmarkEnd w:id="47"/>
    </w:p>
    <w:p w:rsidR="003472A0" w:rsidRDefault="00CC3482">
      <w:pPr>
        <w:pStyle w:val="Heading2"/>
        <w:keepNext/>
        <w:keepLines/>
      </w:pPr>
      <w:bookmarkStart w:id="48" w:name="_Toc220973632"/>
      <w:r>
        <w:t>Framework Documents</w:t>
      </w:r>
      <w:bookmarkEnd w:id="48"/>
    </w:p>
    <w:p w:rsidR="003472A0" w:rsidRDefault="00CC3482">
      <w:pPr>
        <w:pStyle w:val="ListParagraph"/>
        <w:numPr>
          <w:ilvl w:val="0"/>
          <w:numId w:val="5"/>
        </w:numPr>
        <w:spacing w:after="80" w:line="276" w:lineRule="auto"/>
      </w:pPr>
      <w:r>
        <w:t>Puglisi, B. (2026). HAIA-RECCLIN Multi-AI Framework Updated for 2026. basilpuglisi.com.</w:t>
      </w:r>
    </w:p>
    <w:p w:rsidR="003472A0" w:rsidRDefault="00CC3482">
      <w:pPr>
        <w:pStyle w:val="ListParagraph"/>
        <w:numPr>
          <w:ilvl w:val="0"/>
          <w:numId w:val="5"/>
        </w:numPr>
        <w:spacing w:after="80" w:line="276" w:lineRule="auto"/>
      </w:pPr>
      <w:r>
        <w:t>Puglisi, B. (2025). Checkpoint-Based Governance v4.2.1. basilpuglisi.com.</w:t>
      </w:r>
    </w:p>
    <w:p w:rsidR="003472A0" w:rsidRDefault="00CC3482">
      <w:pPr>
        <w:pStyle w:val="ListParagraph"/>
        <w:numPr>
          <w:ilvl w:val="0"/>
          <w:numId w:val="5"/>
        </w:numPr>
        <w:spacing w:after="80" w:line="276" w:lineRule="auto"/>
      </w:pPr>
      <w:r>
        <w:t>Puglisi, B. (2025). Governing AI: When Capability Exceeds Control. basilpuglisi.com.</w:t>
      </w:r>
    </w:p>
    <w:p w:rsidR="003472A0" w:rsidRDefault="00CC3482">
      <w:pPr>
        <w:pStyle w:val="ListParagraph"/>
        <w:numPr>
          <w:ilvl w:val="0"/>
          <w:numId w:val="5"/>
        </w:numPr>
        <w:spacing w:after="80" w:line="276" w:lineRule="auto"/>
      </w:pPr>
      <w:r>
        <w:t>Puglisi, B. (2025). Why Claude's Ethical Charter Requires a Structural Companion. basilpuglisi.com.</w:t>
      </w:r>
    </w:p>
    <w:p w:rsidR="003472A0" w:rsidRDefault="00CC3482">
      <w:pPr>
        <w:pStyle w:val="ListParagraph"/>
        <w:numPr>
          <w:ilvl w:val="0"/>
          <w:numId w:val="5"/>
        </w:numPr>
        <w:spacing w:after="80" w:line="276" w:lineRule="auto"/>
      </w:pPr>
      <w:r>
        <w:t>Puglisi, B. (2025). HEQ Enterprise White Paper v4.3.3. basilpuglisi.com.</w:t>
      </w:r>
    </w:p>
    <w:p w:rsidR="003472A0" w:rsidRDefault="00CC3482">
      <w:pPr>
        <w:pStyle w:val="ListParagraph"/>
        <w:numPr>
          <w:ilvl w:val="0"/>
          <w:numId w:val="5"/>
        </w:numPr>
        <w:spacing w:after="80" w:line="276" w:lineRule="auto"/>
      </w:pPr>
      <w:r>
        <w:t>Puglisi, B. (2025). Human-AI Collaboration Audit: Puglisi EOY 2025. basilpuglisi.com.</w:t>
      </w:r>
    </w:p>
    <w:p w:rsidR="003472A0" w:rsidRDefault="00CC3482">
      <w:pPr>
        <w:pStyle w:val="ListParagraph"/>
        <w:numPr>
          <w:ilvl w:val="0"/>
          <w:numId w:val="5"/>
        </w:numPr>
        <w:spacing w:after="80" w:line="276" w:lineRule="auto"/>
      </w:pPr>
      <w:r>
        <w:t>Puglisi, B. (2025). The Multi-AI Operating System White Paper v7. basilpuglisi.com.</w:t>
      </w:r>
    </w:p>
    <w:p w:rsidR="003472A0" w:rsidRDefault="00CC3482">
      <w:pPr>
        <w:pStyle w:val="ListParagraph"/>
        <w:numPr>
          <w:ilvl w:val="0"/>
          <w:numId w:val="5"/>
        </w:numPr>
        <w:spacing w:after="80" w:line="276" w:lineRule="auto"/>
      </w:pPr>
      <w:r>
        <w:t>Puglisi, B. (2025). AI Provider Plurality White Paper. basilpuglisi.com.</w:t>
      </w:r>
    </w:p>
    <w:p w:rsidR="003472A0" w:rsidRDefault="00CC3482">
      <w:pPr>
        <w:pStyle w:val="Heading2"/>
        <w:keepNext/>
        <w:keepLines/>
      </w:pPr>
      <w:bookmarkStart w:id="49" w:name="_Toc220973633"/>
      <w:r>
        <w:lastRenderedPageBreak/>
        <w:t>Existential Risk and Structural Precedent References</w:t>
      </w:r>
      <w:bookmarkEnd w:id="49"/>
    </w:p>
    <w:p w:rsidR="003472A0" w:rsidRDefault="00CC3482">
      <w:pPr>
        <w:pStyle w:val="ListParagraph"/>
        <w:numPr>
          <w:ilvl w:val="0"/>
          <w:numId w:val="6"/>
        </w:numPr>
        <w:spacing w:after="80" w:line="276" w:lineRule="auto"/>
      </w:pPr>
      <w:r>
        <w:t>Hinton, G. (2023, 2024). Public statements on AI extinction risk. As documented in Puglisi, B. (2025). Governing AI: When Capability Exceeds Control, Chapter 1.</w:t>
      </w:r>
    </w:p>
    <w:p w:rsidR="003472A0" w:rsidRDefault="00CC3482">
      <w:pPr>
        <w:pStyle w:val="ListParagraph"/>
        <w:numPr>
          <w:ilvl w:val="0"/>
          <w:numId w:val="6"/>
        </w:numPr>
        <w:spacing w:after="80" w:line="276" w:lineRule="auto"/>
      </w:pPr>
      <w:r>
        <w:t>Sherman Antitrust Act (1890). 15 U.S.C. §§ 1–7.</w:t>
      </w:r>
    </w:p>
    <w:p w:rsidR="003472A0" w:rsidRDefault="00CC3482">
      <w:pPr>
        <w:pStyle w:val="ListParagraph"/>
        <w:numPr>
          <w:ilvl w:val="0"/>
          <w:numId w:val="6"/>
        </w:numPr>
        <w:spacing w:after="80" w:line="276" w:lineRule="auto"/>
      </w:pPr>
      <w:r>
        <w:t>Clayton Antitrust Act (1914). 15 U.S.C. §§ 12–27.</w:t>
      </w:r>
    </w:p>
    <w:p w:rsidR="003472A0" w:rsidRDefault="00CC3482">
      <w:pPr>
        <w:pStyle w:val="ListParagraph"/>
        <w:numPr>
          <w:ilvl w:val="0"/>
          <w:numId w:val="6"/>
        </w:numPr>
        <w:spacing w:after="80" w:line="276" w:lineRule="auto"/>
      </w:pPr>
      <w:r>
        <w:t>Puglisi, B. (2025). The Adolescence of Governance. basilpuglisi.com.</w:t>
      </w:r>
    </w:p>
    <w:p w:rsidR="003472A0" w:rsidRDefault="00CC3482">
      <w:pPr>
        <w:pStyle w:val="ListParagraph"/>
        <w:numPr>
          <w:ilvl w:val="0"/>
          <w:numId w:val="6"/>
        </w:numPr>
        <w:spacing w:after="80" w:line="276" w:lineRule="auto"/>
      </w:pPr>
      <w:r>
        <w:t>Nolan, J., &amp; Nolan, L. (Creators). (2011-2016). Person of Interest [Television series]. CBS. (Structural reference for AI governance through constrained machine architecture and distributed authority.)</w:t>
      </w:r>
    </w:p>
    <w:p w:rsidR="003472A0" w:rsidRDefault="00CC3482">
      <w:pPr>
        <w:pStyle w:val="Heading2"/>
        <w:keepNext/>
        <w:keepLines/>
      </w:pPr>
      <w:bookmarkStart w:id="50" w:name="_Toc220973634"/>
      <w:r>
        <w:t>Regulatory References</w:t>
      </w:r>
      <w:bookmarkEnd w:id="50"/>
    </w:p>
    <w:p w:rsidR="003472A0" w:rsidRDefault="00CC3482">
      <w:pPr>
        <w:pStyle w:val="ListParagraph"/>
        <w:numPr>
          <w:ilvl w:val="0"/>
          <w:numId w:val="6"/>
        </w:numPr>
        <w:spacing w:after="80" w:line="276" w:lineRule="auto"/>
      </w:pPr>
      <w:r>
        <w:t>European Union. (2024). Regulation (EU) 2024/1689 (EU AI Act). Articles 6, 9, 10, 11, 12, 13, 14, 15, 50.</w:t>
      </w:r>
    </w:p>
    <w:p w:rsidR="003472A0" w:rsidRDefault="00CC3482">
      <w:pPr>
        <w:pStyle w:val="ListParagraph"/>
        <w:numPr>
          <w:ilvl w:val="0"/>
          <w:numId w:val="6"/>
        </w:numPr>
        <w:spacing w:after="80" w:line="276" w:lineRule="auto"/>
      </w:pPr>
      <w:r>
        <w:t>National Institute of Standards and Technology. (2023). AI Risk Management Framework 1.0.</w:t>
      </w:r>
    </w:p>
    <w:p w:rsidR="003472A0" w:rsidRDefault="00CC3482">
      <w:pPr>
        <w:pStyle w:val="ListParagraph"/>
        <w:numPr>
          <w:ilvl w:val="0"/>
          <w:numId w:val="6"/>
        </w:numPr>
        <w:spacing w:after="80" w:line="276" w:lineRule="auto"/>
      </w:pPr>
      <w:r>
        <w:t>International Organization for Standardization. (2023). ISO/IEC 42001:2023.</w:t>
      </w:r>
    </w:p>
    <w:p w:rsidR="003472A0" w:rsidRDefault="00CC3482">
      <w:pPr>
        <w:pStyle w:val="ListParagraph"/>
        <w:numPr>
          <w:ilvl w:val="0"/>
          <w:numId w:val="6"/>
        </w:numPr>
        <w:spacing w:after="80" w:line="276" w:lineRule="auto"/>
      </w:pPr>
      <w:r>
        <w:t>GPAI Code of Practice (2025).</w:t>
      </w:r>
    </w:p>
    <w:p w:rsidR="003472A0" w:rsidRDefault="00CC3482">
      <w:pPr>
        <w:pStyle w:val="Heading2"/>
        <w:keepNext/>
        <w:keepLines/>
      </w:pPr>
      <w:bookmarkStart w:id="51" w:name="_Toc220973635"/>
      <w:r>
        <w:t>Operational Evidence</w:t>
      </w:r>
      <w:bookmarkEnd w:id="51"/>
    </w:p>
    <w:p w:rsidR="003472A0" w:rsidRDefault="00CC3482">
      <w:pPr>
        <w:pStyle w:val="ListParagraph"/>
        <w:numPr>
          <w:ilvl w:val="0"/>
          <w:numId w:val="7"/>
        </w:numPr>
        <w:spacing w:after="80" w:line="276" w:lineRule="auto"/>
      </w:pPr>
      <w:r>
        <w:t>Governing AI manuscript: 204 pages, 5 platforms, 28 checkpoints, 26 dissents, 96% utilization, 100% documentation, 6 weeks.</w:t>
      </w:r>
    </w:p>
    <w:p w:rsidR="003472A0" w:rsidRDefault="00CC3482">
      <w:pPr>
        <w:pStyle w:val="ListParagraph"/>
        <w:numPr>
          <w:ilvl w:val="0"/>
          <w:numId w:val="7"/>
        </w:numPr>
        <w:spacing w:after="80" w:line="276" w:lineRule="auto"/>
      </w:pPr>
      <w:r>
        <w:t>Multi-AI capstone validation: 7 platforms with human arbitration.</w:t>
      </w:r>
    </w:p>
    <w:p w:rsidR="003472A0" w:rsidRDefault="00CC3482">
      <w:pPr>
        <w:pStyle w:val="Heading2"/>
        <w:keepNext/>
        <w:keepLines/>
      </w:pPr>
      <w:bookmarkStart w:id="52" w:name="_Toc220973636"/>
      <w:r>
        <w:t>Related and Concurrent Work</w:t>
      </w:r>
      <w:bookmarkEnd w:id="52"/>
    </w:p>
    <w:p w:rsidR="003472A0" w:rsidRDefault="00CC3482">
      <w:pPr>
        <w:spacing w:after="160" w:line="276" w:lineRule="auto"/>
      </w:pPr>
      <w:r>
        <w:t>Several concurrent efforts address individual components of the governance challenge this architecture integrates. None were sources for this specification. They are documented here to establish landscape awareness and to clarify by contrast where the HAIA-RECCLIN contribution sits.</w:t>
      </w:r>
    </w:p>
    <w:p w:rsidR="003472A0" w:rsidRDefault="00CC3482">
      <w:pPr>
        <w:spacing w:after="160" w:line="276" w:lineRule="auto"/>
      </w:pPr>
      <w:r>
        <w:rPr>
          <w:b/>
          <w:bCs/>
        </w:rPr>
        <w:t xml:space="preserve">Antimonopoly Governance of AI. </w:t>
      </w:r>
      <w:r>
        <w:t xml:space="preserve">Narechania and Sitaraman (Yale Law &amp; Policy Review) argue that antitrust enforcement alone is insufficient for AI market structure problems and advocate ex ante market-shaping tools including industrial policy, public options, and cooperative governance. Their analysis validates the structural premise underlying AI Provider Plurality: concentration in the AI supply chain creates risks that reactive enforcement cannot address. Their contribution remains at the policy analysis level. It does not produce an operational architecture specifying how organizations implement plurality in practice. This specification provides that implementation layer. </w:t>
        <w:lastRenderedPageBreak/>
        <w:t>Narechania, T. N., &amp; Sitaraman, G. (2024). An Antimonopoly Approach to Governing Artificial Intelligence. 43 Yale Law &amp; Policy Review 95.</w:t>
      </w:r>
    </w:p>
    <w:p w:rsidR="003472A0" w:rsidRDefault="00CC3482">
      <w:pPr>
        <w:spacing w:after="160" w:line="276" w:lineRule="auto"/>
      </w:pPr>
      <w:r>
        <w:rPr>
          <w:b/>
          <w:bCs/>
        </w:rPr>
        <w:t xml:space="preserve">Institutional AI. </w:t>
      </w:r>
      <w:r>
        <w:t>Pierucci et al. (2026) propose governance graphs as enforceable, public, immutable artifacts for governing multi-agent LLM systems at runtime, treating safety as a mechanism design problem rather than a property of individual model alignment. Their approach shares this specification's architectural instinct: governance must be structural and external to the systems being governed, not dependent on internal model compliance. Their framework governs autonomous agents competing in economic markets (Cournot collusion scenarios). This specification governs human-AI collaboration where human authority is final. The governed relationship is fundamentally different: agent-to-agent coordination versus human-to-platform partnership. Pierucci, V. et al. (2026). Institutional AI: Governing LLM Collusion in Multi-Agent Cournot Markets via Public Governance Graphs. arXiv:2601.11369.</w:t>
      </w:r>
    </w:p>
    <w:p w:rsidR="003472A0" w:rsidRDefault="00CC3482">
      <w:pPr>
        <w:spacing w:after="160" w:line="276" w:lineRule="auto"/>
      </w:pPr>
      <w:r>
        <w:rPr>
          <w:b/>
          <w:bCs/>
        </w:rPr>
        <w:t xml:space="preserve">Governance-as-a-Service. </w:t>
      </w:r>
      <w:r>
        <w:t>GaaS proposes a modular enforcement layer between agentic systems and users that decouples governance from agent cognition and uses trust scores based on longitudinal compliance history. The decoupling principle parallels this specification's non-cognitive agent design: governance infrastructure should have no opinion, no weighting, and no decision authority over the content it governs. GaaS applies this principle to autonomous agents making independent decisions with graduated enforcement and per-agent trust modulation. This specification applies it to collaborative human-AI workflows where the human retains unconditional final authority and the agent functions as record infrastructure rather than enforcement mechanism. Governance-as-a-Service: A Multi-Agent Framework for AI System Compliance and Policy Enforcement. (2025). arXiv:2508.18765.</w:t>
      </w:r>
    </w:p>
    <w:p w:rsidR="003472A0" w:rsidRDefault="00CC3482">
      <w:pPr>
        <w:spacing w:after="160" w:line="276" w:lineRule="auto"/>
      </w:pPr>
      <w:r>
        <w:rPr>
          <w:b/>
          <w:bCs/>
        </w:rPr>
        <w:t xml:space="preserve">Enterprise Orchestration Frameworks. </w:t>
      </w:r>
      <w:r>
        <w:t xml:space="preserve">Commercial multi-agent orchestration platforms (Microsoft Semantic Kernel, LangGraph, CrewAI, AutoGen) implement workflow coordination with human-in-the-loop checkpoints, audit trails, and governance observability. These are engineering implementations that solve task routing and state management. None address existential risk, convergence detection across independent AI providers, provider plurality as structural governance principle, or the question of what happens when the platforms themselves cannot be trusted. This specification operates at the governance architecture layer above orchestration tooling. The agent described in this specification could be implemented using any of these frameworks, but the governance principles (mandatory provider rotation, convergence detection through audit trail analysis, non-cognitive agent design, automation bias detection with escalation) are independent of implementation platform. HAIA-RECCLIN complements orchestration frameworks by layering governance principles, including plurality, checkpoints, audit trails, and accountability, atop their routing capabilities. Orchestration solves how tasks move between agents. Governance solves who is accountable when </w:t>
        <w:lastRenderedPageBreak/>
        <w:t>outputs are wrong, how bias is detected before it scales, and what happens when a platform cannot be trusted. Plumbing without governance is automation. Governance without plumbing is policy. This specification provides the governance. The orchestration frameworks provide the plumbing. Neither replaces the other.</w:t>
      </w:r>
    </w:p>
    <w:p w:rsidR="003472A0" w:rsidRDefault="00CC3482">
      <w:pPr>
        <w:spacing w:after="160" w:line="276" w:lineRule="auto"/>
      </w:pPr>
      <w:r>
        <w:rPr>
          <w:b/>
          <w:bCs/>
        </w:rPr>
        <w:t xml:space="preserve">AI Antitrust Scholarship. </w:t>
      </w:r>
      <w:r>
        <w:t>A growing body of legal scholarship examines antitrust implications of AI market concentration, including vertical integration across the AI supply chain, cloud provider dominance, and the competitive effects of strategic partnerships between incumbents and AI startups. These analyses document the market structure conditions that make AI Provider Plurality both necessary and difficult. They validate the structural premise of Section 3.5: concentration of AI authority is a governance threat regardless of the quality of the concentrated entity. The contribution of this specification is connecting that established legal principle to an operational architecture that organizations can implement without waiting for regulatory action. See: Antitrust in artificial intelligence infrastructure (ScienceDirect, 2025). Competition and Antitrust Concerns Related to Generative AI (Congressional Research Service, 2025).</w:t>
      </w:r>
    </w:p>
    <w:p w:rsidR="003472A0" w:rsidRDefault="00CC3482">
      <w:pPr>
        <w:spacing w:after="160" w:line="276" w:lineRule="auto"/>
      </w:pPr>
      <w:r>
        <w:rPr>
          <w:b/>
          <w:bCs/>
        </w:rPr>
        <w:t xml:space="preserve">LLM-as-a-Judge. </w:t>
      </w:r>
      <w:r>
        <w:t>Zheng et al. (2023) established that LLMs can serve as scalable evaluators of other LLMs' outputs, with strong agreement rates against human expert judgment. Their MT-Bench and Chatbot Arena frameworks demonstrated that model-based evaluation produces consistent, explainable assessments at speeds and costs impractical for human reviewers alone. The Navigator synthesis function in HAIA-RECCLIN shares structural kinship with LLM-as-a-Judge: one model evaluates and synthesizes the outputs of others. The critical architectural difference is that in LLM-as-a-Judge the evaluating model renders a verdict. In HAIA-RECCLIN the Navigator synthesizes and preserves dissent, but the human arbiter renders the verdict. The Navigator is a judge's clerk, not a judge. The post-project balance audit (Section 3.4) provides an additional structural check absent from the LLM-as-a-Judge framework: the evaluator itself is subsequently evaluated by independent platforms. Zheng, L., Chiang, W. L., Sheng, Y., Zhuang, S., Wu, Z., Zhuang, Y., Lin, Z., Li, Z., Li, D., Xing, E. P., Zhang, H., Gonzalez, J. E., &amp; Stoica, I. (2023). Judging LLM-as-a-Judge with MT-Bench and Chatbot Arena. arXiv:2306.05685.</w:t>
      </w:r>
    </w:p>
    <w:p w:rsidR="003472A0" w:rsidRDefault="00CC3482">
      <w:pPr>
        <w:spacing w:after="160" w:line="276" w:lineRule="auto"/>
      </w:pPr>
      <w:r>
        <w:rPr>
          <w:b/>
          <w:bCs/>
        </w:rPr>
        <w:t xml:space="preserve">Constitutional AI. </w:t>
      </w:r>
      <w:r>
        <w:t xml:space="preserve">Anthropic's Constitutional AI (Bai et al., 2022) trains language models to critique and revise their own outputs against a set of written principles (a "constitution"), reducing the need for human feedback on harmful outputs. The model learns to self-correct by evaluating its responses against explicit rules. HAIA-RECCLIN and Constitutional AI share the premise that governance principles should be explicit, documented, and structurally embedded rather than implicit in training data or developer intuition. The architectural difference is where the constitution operates. Constitutional AI embeds principles inside a single model's training loop. HAIA-RECCLIN operates principles externally across multiple models through checkpoint governance, audit trail </w:t>
        <w:lastRenderedPageBreak/>
        <w:t>documentation, and human arbitration. Constitutional AI trusts the model to self-govern against stated principles. HAIA-RECCLIN does not trust any single model to self-govern and instead requires structural verification through multi-platform triangulation. Both approaches are complementary: Constitutional AI improves the quality of individual platform outputs; HAIA-RECCLIN governs the system that consumes those outputs regardless of individual platform quality. Bai, Y., Kadavath, S., Kundu, S., Askell, A., Kernion, J., Jones, A., Chen, A., Goldie, A., Mirhoseini, A., McKinnon, C., Chen, C., Olsson, C., Olah, C., Hernandez, D., Drain, D., Ganguli, D., Li, D., Tran-Johnson, E., Perez, E., ... Kaplan, J. (2022). Constitutional AI: Harmlessness from AI Feedback. arXiv:2212.08073.</w:t>
      </w:r>
    </w:p>
    <w:p w:rsidR="003472A0" w:rsidRDefault="00CC3482">
      <w:pPr>
        <w:spacing w:after="160" w:line="276" w:lineRule="auto"/>
      </w:pPr>
      <w:r>
        <w:rPr>
          <w:b/>
          <w:bCs/>
        </w:rPr>
        <w:t xml:space="preserve">Normative Multi-Agent Systems. </w:t>
      </w:r>
      <w:r>
        <w:t>The Normative Multi-Agent Systems (NorMAS) tradition and the electronic institutions scholarship (Esteva, Rodriguez-Aguilar, Sierra, and others) formalized how autonomous agents can be governed by explicit norms, roles, and institutional rules rather than by internal agent design alone. These frameworks established foundational concepts: agents operating within structured interaction protocols, norm enforcement through institutional mechanisms, and role-based coordination where agents fulfill designated functions within a governed system. HAIA-RECCLIN is a practical instantiation of these principles for the LLM era. The RECCLIN functional roles (Researcher, Editor, Coder, Calculator, Liaison, Ideator, Navigator) map to NorMAS role assignments. The checkpoint governance protocol maps to institutional interaction rules. The audit trail maps to normative record keeping. The non-cognitive agent design maps to the institutional environment that coordinates agents without itself being an agent. The contribution of this specification relative to NorMAS is operational implementation with commercial LLM platforms rather than theoretical formalization. See: Boella, G., van der Torre, L., &amp; Verhagen, H. (Eds.). (2006). Normative Multi-Agent Systems. Dagstuhl Seminar Proceedings. Esteva, M., Rodriguez-Aguilar, J. A., Sierra, C., Garcia, P., &amp; Arcos, J. L. (2001). On the Formal Specification of Electronic Institutions. Agent Mediated Electronic Commerce, Springer LNAI 1991.</w:t>
      </w:r>
    </w:p>
    <w:p w:rsidR="003472A0" w:rsidRDefault="00CC3482">
      <w:pPr>
        <w:spacing w:after="160" w:line="276" w:lineRule="auto"/>
      </w:pPr>
      <w:r>
        <w:rPr>
          <w:b/>
          <w:bCs/>
        </w:rPr>
        <w:t xml:space="preserve">Integration Gap. </w:t>
      </w:r>
      <w:r>
        <w:t xml:space="preserve">The author is not aware of published work that integrates the following within a single coherent architecture: a non-cognitive agent that cannot be co-opted, mandatory multi-platform triangulation as structural governance, convergence detection through audit trail analysis, antitrust precedent applied to AI provider selection, automation bias detection with factory-to-handmade escalation at task endpoints, dual-layer security architecture addressing both AI and human adversaries, existential safeguard through provider plurality, and regulatory compliance (EU AI Act, NIST RMF, ISO 42001) achieved by architectural design rather than policy overlay. This assessment is based on a structured landscape search conducted across ten independent AI platforms: Claude (Anthropic), ChatGPT (OpenAI), Gemini (Google), </w:t>
        <w:lastRenderedPageBreak/>
        <w:t>Grok (xAI), Perplexity, DeepSeek, Kimi (Moonshot), Mistral, Co-pilot (Microsoft), and Meta AI. Each platform was independently prompted to identify published work, frameworks, specifications, or architectures that integrate the components listed above. No platform received access to any other platform's results. The search queries targeted AI governance frameworks, multi-agent orchestration with audit trails, provider plurality architectures, non-cognitive agent designs, checkpoint-based governance for AI systems, and EU AI Act compliance architectures. Results were synthesized by the Navigator (Claude) and reviewed by the human author. The concurrent works cited in this section were identified through this process and through independent research during the development of this specification and the Governing AI manuscript. Each addresses an important component of the problem space. If comparable integrated work exists that this search did not surface, the author welcomes identification and will incorporate it in future revisions. The HAIA-RECCLIN Agent Architecture Specification provides, to the best of the author's knowledge, the integration layer connecting these components into a single implementable system grounded in documented operational evidence.</w:t>
      </w:r>
    </w:p>
    <w:p w:rsidR="003472A0" w:rsidRDefault="00CC3482">
      <w:pPr>
        <w:spacing w:after="160" w:line="276" w:lineRule="auto"/>
      </w:pPr>
      <w:r>
        <w:t>A terminological note on the landscape search: “non-cognitive agent” is this specification’s vocabulary. No pre-2025 literature uses this exact phrase. Functionally similar architectures may appear under different terminology, including “deterministic orchestrator,” “policy enforcement layer,” “governance middleware,” or “constrained agent.” The integration gap claim holds for frameworks reviewed under both this specification’s terminology and these functional equivalents through December 2024. If comparable integrated work exists under vocabulary this search did not target, the author welcomes identification and will incorporate it in future revisions.</w:t>
      </w:r>
    </w:p>
    <w:p w:rsidR="003472A0" w:rsidRDefault="003472A0"/>
    <w:p w:rsidR="003472A0" w:rsidRDefault="00CC3482">
      <w:pPr>
        <w:pStyle w:val="Heading1"/>
        <w:keepNext/>
        <w:keepLines/>
      </w:pPr>
      <w:r>
        <w:t>Appendix A: Cryptographic Audit Trail Implementation Minimums</w:t>
      </w:r>
    </w:p>
    <w:p w:rsidR="003472A0" w:rsidRDefault="00CC3482">
      <w:pPr>
        <w:spacing w:after="160" w:line="276" w:lineRule="auto"/>
      </w:pPr>
      <w:r>
        <w:t>This appendix specifies the minimum cryptographic requirements for the append-only, tamper-evident audit trail described in Section 4. These requirements ensure that audit records produced by any HAIA-RECCLIN deployment are verifiable, interoperable across implementations, and defensible under regulatory inspection by a notified body or market surveillance authority.</w:t>
      </w:r>
    </w:p>
    <w:p w:rsidR="003472A0" w:rsidRDefault="00CC3482">
      <w:pPr>
        <w:spacing w:after="160" w:line="276" w:lineRule="auto"/>
      </w:pPr>
      <w:r>
        <w:rPr>
          <w:b/>
          <w:bCs/>
        </w:rPr>
        <w:t xml:space="preserve">A.1 Record Canonicalization. </w:t>
      </w:r>
      <w:r>
        <w:t>Before hashing, each audit record must be serialized into a deterministic canonical form. The canonical form uses UTF-8 encoding, lexicographic key ordering for structured fields, no trailing whitespace, Unix-style line endings (LF, not CRLF), and ISO 8601 timestamps in UTC with millisecond precision. Two implementations processing the same logical record must produce identical byte sequences after canonicalization. The canonicalization algorithm must be documented in the deployment’s technical documentation package per Annex IV Section 2 (general description of the AI system) so that a third-party auditor can independently verify hash integrity.</w:t>
      </w:r>
    </w:p>
    <w:p w:rsidR="003472A0" w:rsidRDefault="00CC3482">
      <w:pPr>
        <w:spacing w:after="160" w:line="276" w:lineRule="auto"/>
      </w:pPr>
      <w:r>
        <w:rPr>
          <w:b/>
          <w:bCs/>
        </w:rPr>
        <w:t xml:space="preserve">A.2 Hash Algorithm and Chaining. </w:t>
      </w:r>
      <w:r>
        <w:t>Each canonical record is hashed using SHA-256 at minimum (SHA-3 recommended for new deployments). The hash of each record includes the hash of the preceding record in the chain, producing a sequential hash chain where modification of any record invalidates all subsequent hashes. The genesis record (first record in the audit trail) includes a deployment-specific initialization vector documented in the deployment’s QMS records. Hash chain verification proceeds sequentially from genesis through the most recent record. A verification failure at any point indicates tampering or corruption and must trigger the incident response procedure.</w:t>
      </w:r>
    </w:p>
    <w:p w:rsidR="003472A0" w:rsidRDefault="00CC3482">
      <w:pPr>
        <w:spacing w:after="160" w:line="276" w:lineRule="auto"/>
      </w:pPr>
      <w:r>
        <w:rPr>
          <w:b/>
          <w:bCs/>
        </w:rPr>
        <w:t xml:space="preserve">A.3 Digital Signing. </w:t>
      </w:r>
      <w:r>
        <w:t>Each audit record or batch of records must be digitally signed using the deploying organization’s signing key. RSA-2048 is the minimum acceptable key length; ECDSA P-256 or Ed25519 are recommended for new deployments. Signing keys must be stored in a hardware security module (HSM) or equivalent tamper-resistant storage. Key rotation must occur at minimum annually or upon personnel change in the arbiter role. The certificate chain must be documented and available for auditor verification. Key rotation events are themselves audit records in the chain.</w:t>
      </w:r>
    </w:p>
    <w:p w:rsidR="003472A0" w:rsidRDefault="00CC3482">
      <w:pPr>
        <w:spacing w:after="160" w:line="276" w:lineRule="auto"/>
      </w:pPr>
      <w:r>
        <w:rPr>
          <w:b/>
          <w:bCs/>
        </w:rPr>
        <w:t xml:space="preserve">A.4 Human Identity Binding. </w:t>
      </w:r>
      <w:r>
        <w:t>Each Arbitration Record and Decision Record must bind the human arbiter’s identity to the record using authenticated identity (organizational SSO, digital certificate, or equivalent). Anonymous or shared-credential arbitration is prohibited. The identity binding mechanism must be documented in the QMS and must survive key rotation. This requirement satisfies EU AI Act Article 14(4)(d): the ability to identify the natural person to whom the human oversight function has been assigned.</w:t>
      </w:r>
    </w:p>
    <w:p w:rsidR="003472A0" w:rsidRDefault="00CC3482">
      <w:pPr>
        <w:spacing w:after="160" w:line="276" w:lineRule="auto"/>
      </w:pPr>
      <w:r>
        <w:rPr>
          <w:b/>
          <w:bCs/>
        </w:rPr>
        <w:t xml:space="preserve">A.5 Mandatory Record Metadata. </w:t>
      </w:r>
      <w:r>
        <w:t>Every audit record, regardless of type, must include: record_id (unique, sequential), record_type (one of six types per Section 4.2), timestamp (ISO 8601 UTC, millisecond precision), previous_hash (SHA-256 of preceding record), record_hash (SHA-256 of canonical current record including previous_hash), arbiter_identity (for Arbitration and Decision records), platform_id (for Response and Navigation records), recclin_role (functional role assignment), operating_model (M1, M2, or M3), and signature (digital signature over record_hash). Absence of any mandatory field renders the record non-compliant and must be flagged during verification.</w:t>
      </w:r>
    </w:p>
    <w:p w:rsidR="003472A0" w:rsidRDefault="00CC3482">
      <w:pPr>
        <w:spacing w:after="160" w:line="276" w:lineRule="auto"/>
      </w:pPr>
      <w:r>
        <w:rPr>
          <w:b/>
          <w:bCs/>
        </w:rPr>
        <w:t xml:space="preserve">A.6 GDPR Erasure Reconciliation via Bridge Records. </w:t>
      </w:r>
      <w:r>
        <w:t>When a data subject exercises the right to erasure under GDPR Article 17, the following procedure reconciles erasure with audit trail integrity. The deploying organization identifies all records containing the data subject’s personal data. Personal data fields are replaced with anonymization tokens (e.g., [REDACTED-DS-0042]). The anonymized records are re-canonicalized and re-hashed. A Bridge Record is inserted documenting the anonymization event: original hash, new hash, erasure request reference, date, and authorizing officer. The Bridge Record is signed and becomes part of the chain. The hash chain from the Bridge Record forward uses the new hashes. Verification procedures must recognize Bridge Records as valid chain modifications. This two-layer approach preserves governance metadata (who made what decision, when, under what authority) while removing personal data, satisfying both the EU AI Act’s logging requirements (Article 12) and the GDPR’s erasure requirements (Article 17). Platform-side erasure depends on each provider’s data processing agreement.</w:t>
      </w:r>
    </w:p>
    <w:p w:rsidR="003472A0" w:rsidRDefault="00CC3482">
      <w:pPr>
        <w:spacing w:after="160" w:line="276" w:lineRule="auto"/>
      </w:pPr>
      <w:r>
        <w:rPr>
          <w:b/>
          <w:bCs/>
        </w:rPr>
        <w:t xml:space="preserve">A.7 Verification Procedure. </w:t>
      </w:r>
      <w:r>
        <w:t>A compliant implementation must provide a verification tool that accepts the complete audit trail, re-canonicalizes each record, recomputes hashes, verifies the hash chain, validates digital signatures against the certificate chain, confirms mandatory metadata presence, and reports any integrity failures with the specific record_id and failure type. This tool must be runnable by a third-party auditor without access to the deploying organization’s systems beyond the exported audit file and public key infrastructure. The verification tool’s specification is part of the Annex IV technical documentation package.</w:t>
      </w:r>
    </w:p>
    <w:p w:rsidR="003472A0" w:rsidRDefault="003472A0"/>
    <w:p w:rsidR="003472A0" w:rsidRDefault="00CC3482">
      <w:pPr>
        <w:pStyle w:val="Heading1"/>
        <w:keepNext/>
        <w:keepLines/>
      </w:pPr>
      <w:r>
        <w:t>Appendix B: Automation Bias Detection Metric Definitions</w:t>
      </w:r>
    </w:p>
    <w:p w:rsidR="003472A0" w:rsidRDefault="00CC3482">
      <w:pPr>
        <w:spacing w:after="160" w:line="276" w:lineRule="auto"/>
      </w:pPr>
      <w:r>
        <w:t>This appendix defines the metrics, thresholds, observation windows, and trigger behaviors referenced in Section 2.1 (Model 1 automation bias detection) and Section 5.7 (compliance status monitoring). These definitions remove ambiguity from the automation bias control and ensure that any implementation produces consistent, auditable detection behavior.</w:t>
      </w:r>
    </w:p>
    <w:p w:rsidR="003472A0" w:rsidRDefault="00CC3482">
      <w:pPr>
        <w:spacing w:after="160" w:line="276" w:lineRule="auto"/>
      </w:pPr>
      <w:r>
        <w:rPr>
          <w:b/>
          <w:bCs/>
        </w:rPr>
        <w:t xml:space="preserve">B.1 Approval Rate. </w:t>
      </w:r>
      <w:r>
        <w:t>Definition: the number of Decision Records where the human arbiter accepted the AI output without substantive modification, divided by the total number of Decision Records, over the observation window. Substantive modification means any change to the semantic content of the output beyond formatting, typographical correction, or style adjustment. Formula: Approval Rate = (Decisions with status “Accepted”) / (Total Decisions) over the observation window. Threshold: this specification sets 0.95 (95%) as the framework governance default for escalation review. This is an internal governance standard, not a regulatory mandate. Each deploying organization, agency, or compliance authority sets its own threshold proportional to risk classification and regulatory requirements applicable to its domain.</w:t>
      </w:r>
    </w:p>
    <w:p w:rsidR="003472A0" w:rsidRDefault="00CC3482">
      <w:pPr>
        <w:spacing w:after="160" w:line="276" w:lineRule="auto"/>
      </w:pPr>
      <w:r>
        <w:rPr>
          <w:b/>
          <w:bCs/>
        </w:rPr>
        <w:t xml:space="preserve">B.2 Reversal Rate. </w:t>
      </w:r>
      <w:r>
        <w:t>Definition: the number of Decision Records where the human arbiter rejected or substantively modified the AI output, divided by the total number of Decision Records, over the observation window. Formula: Reversal Rate = 1 minus Approval Rate. Threshold: this specification sets 0.05 (5%) as the framework governance default. Deploying organizations calibrate to their own compliance requirements. A reversal rate of zero over any observation window of ten or more decisions is an automatic escalation trigger regardless of other metrics.</w:t>
      </w:r>
    </w:p>
    <w:p w:rsidR="003472A0" w:rsidRDefault="00CC3482">
      <w:pPr>
        <w:spacing w:after="160" w:line="276" w:lineRule="auto"/>
      </w:pPr>
      <w:r>
        <w:rPr>
          <w:b/>
          <w:bCs/>
        </w:rPr>
        <w:t xml:space="preserve">B.3 Consecutive Agreement Pattern. </w:t>
      </w:r>
      <w:r>
        <w:t>Definition: the longest unbroken sequence of consecutive Decision Records with “Accepted” status. Threshold: a consecutive agreement run exceeding twenty decisions triggers escalation review. This metric detects sustained rubber-stamping that aggregate approval rates might mask. The consecutive count resets to zero upon any reversal.</w:t>
      </w:r>
    </w:p>
    <w:p w:rsidR="003472A0" w:rsidRDefault="00CC3482">
      <w:pPr>
        <w:spacing w:after="160" w:line="276" w:lineRule="auto"/>
      </w:pPr>
      <w:r>
        <w:rPr>
          <w:b/>
          <w:bCs/>
        </w:rPr>
        <w:t xml:space="preserve">B.4 Observation Window. </w:t>
      </w:r>
      <w:r>
        <w:t>The observation window is defined as the most recent N decisions, where N is set by the deploying organization’s risk policy. Default: N = 50 for high-risk AI systems, N = 100 for limited-risk systems. The window is rolling: each new Decision Record advances the window by one. Metrics are recomputed at every new decision. The observation window size must be documented in the deployment’s risk management system per Article 9.</w:t>
      </w:r>
    </w:p>
    <w:p w:rsidR="003472A0" w:rsidRDefault="00CC3482">
      <w:pPr>
        <w:spacing w:after="160" w:line="276" w:lineRule="auto"/>
      </w:pPr>
      <w:r>
        <w:rPr>
          <w:b/>
          <w:bCs/>
        </w:rPr>
        <w:t xml:space="preserve">B.5 Cycle Definition. </w:t>
      </w:r>
      <w:r>
        <w:t>A cycle is one complete passage through the HAIA-RECCLIN operational sequence (Section 8): from task receipt through platform dispatch, response collection, Navigator synthesis, human arbitration, and Decision Record creation. One cycle produces one complete set of six audit record types. The cycle count increments by one upon creation of each Decision Record. Multi-role workflows (Model 2) produce one cycle per RECCLIN role checkpoint, not one cycle per workflow.</w:t>
      </w:r>
    </w:p>
    <w:p w:rsidR="003472A0" w:rsidRDefault="00CC3482">
      <w:pPr>
        <w:spacing w:after="160" w:line="276" w:lineRule="auto"/>
      </w:pPr>
      <w:r>
        <w:rPr>
          <w:b/>
          <w:bCs/>
        </w:rPr>
        <w:t xml:space="preserve">B.6 Escalation Trigger Logging. </w:t>
      </w:r>
      <w:r>
        <w:t>When any threshold is breached, the agent creates an Escalation Trigger Record (a seventh record type for automation bias events only) containing: the metric that triggered escalation, the current metric value, the threshold value, the observation window size, the timestamp, the arbiter_identity associated with the pattern, and the escalation action taken. The Escalation Trigger Record is appended to the audit trail and hash-chained per Appendix A.</w:t>
      </w:r>
    </w:p>
    <w:p w:rsidR="003472A0" w:rsidRDefault="00CC3482">
      <w:pPr>
        <w:spacing w:after="160" w:line="276" w:lineRule="auto"/>
      </w:pPr>
      <w:r>
        <w:rPr>
          <w:b/>
          <w:bCs/>
        </w:rPr>
        <w:t xml:space="preserve">B.7 Escalation Action. </w:t>
      </w:r>
      <w:r>
        <w:t>Upon escalation trigger: the current operating model escalates from Model 1 to Model 2 (human checkpoint per role) for the next N cycles, where N equals the observation window size. The arbiter receives notification of the specific metric and value that triggered review. The deploying organization’s governance oversight function receives the Escalation Trigger Record for independent review. The escalation remains active until the arbiter’s approval rate within the escalated window falls below the threshold, at which point the workflow may return to the prior operating model with documented authorization in the audit trail. For high-risk AI systems, the escalation event and resolution must be included in the post-market monitoring report per Article 72.</w:t>
      </w:r>
    </w:p>
    <w:p w:rsidR="003472A0" w:rsidRDefault="003472A0"/>
    <w:p w:rsidR="003472A0" w:rsidRDefault="00CC3482">
      <w:pPr>
        <w:pStyle w:val="Heading1"/>
        <w:keepNext/>
        <w:keepLines/>
      </w:pPr>
      <w:r>
        <w:t>Appendix C: Cross-Framework Control Mapping with Sufficiency Labels</w:t>
      </w:r>
    </w:p>
    <w:p w:rsidR="003472A0" w:rsidRDefault="00CC3482">
      <w:pPr>
        <w:spacing w:after="160" w:line="276" w:lineRule="auto"/>
      </w:pPr>
      <w:r>
        <w:t>This appendix maps HAIA-RECCLIN architectural controls to specific control families across each regulatory framework referenced in the specification. Each mapping identifies the framework, the specific control or article, the HAIA-RECCLIN component that addresses it, the audit artifact produced, and the sufficiency label: Sufficient (the artifact alone satisfies the control), Supporting (the artifact provides required evidence but the deploying organization must add organizational controls), or Out of Scope (the control requires organizational or provider action that the framework cannot perform).</w:t>
      </w:r>
    </w:p>
    <w:p w:rsidR="003472A0" w:rsidRDefault="00CC3482">
      <w:pPr>
        <w:pStyle w:val="Heading2"/>
        <w:keepNext/>
        <w:keepLines/>
      </w:pPr>
      <w:r>
        <w:t>C.1 EU AI Act (Regulation (EU) 2024/1689)</w:t>
      </w:r>
    </w:p>
    <w:tbl>
      <w:tblPr>
        <w:tblW w:w="5000" w:type="pc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2200"/>
        <w:gridCol w:w="2000"/>
        <w:gridCol w:w="1200"/>
      </w:tblGrid>
      <w:tr w:rsidR="003472A0">
        <w:tblPrEx>
          <w:tblCellMar>
            <w:top w:w="0" w:type="dxa"/>
            <w:bottom w:w="0" w:type="dxa"/>
          </w:tblCellMar>
        </w:tblPrEx>
        <w:trPr>
          <w:cantSplit/>
        </w:trPr>
        <w:tc>
          <w:tcPr>
            <w:tcW w:w="120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18"/>
                <w:szCs w:val="18"/>
              </w:rPr>
              <w:t>Article/Annex</w:t>
            </w:r>
          </w:p>
        </w:tc>
        <w:tc>
          <w:tcPr>
            <w:tcW w:w="160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18"/>
                <w:szCs w:val="18"/>
              </w:rPr>
              <w:t>Requirement</w:t>
            </w:r>
          </w:p>
        </w:tc>
        <w:tc>
          <w:tcPr>
            <w:tcW w:w="220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18"/>
                <w:szCs w:val="18"/>
              </w:rPr>
              <w:t>HAIA-RECCLIN Control</w:t>
            </w:r>
          </w:p>
        </w:tc>
        <w:tc>
          <w:tcPr>
            <w:tcW w:w="200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18"/>
                <w:szCs w:val="18"/>
              </w:rPr>
              <w:t>Artifact Produced</w:t>
            </w:r>
          </w:p>
        </w:tc>
        <w:tc>
          <w:tcPr>
            <w:tcW w:w="120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18"/>
                <w:szCs w:val="18"/>
              </w:rPr>
              <w:t>Sufficiency</w:t>
            </w:r>
          </w:p>
        </w:tc>
      </w:tr>
      <w:tr w:rsidR="003472A0">
        <w:tblPrEx>
          <w:tblCellMar>
            <w:top w:w="0" w:type="dxa"/>
            <w:bottom w:w="0" w:type="dxa"/>
          </w:tblCellMar>
        </w:tblPrEx>
        <w:trPr>
          <w:cantSplit/>
        </w:trPr>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Art. 5</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Prohibited AI practices</w:t>
            </w:r>
          </w:p>
        </w:tc>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BEFORE checkpoint task classification; scope statement</w:t>
            </w:r>
          </w:p>
        </w:tc>
        <w:tc>
          <w:tcPr>
            <w:tcW w:w="2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Request Record with purpose classification</w:t>
            </w:r>
          </w:p>
        </w:tc>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Sufficient</w:t>
            </w:r>
          </w:p>
        </w:tc>
      </w:tr>
      <w:tr w:rsidR="003472A0">
        <w:tblPrEx>
          <w:tblCellMar>
            <w:top w:w="0" w:type="dxa"/>
            <w:bottom w:w="0" w:type="dxa"/>
          </w:tblCellMar>
        </w:tblPrEx>
        <w:trPr>
          <w:cantSplit/>
        </w:trPr>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Art. 6 + Annex III</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High-risk classification</w:t>
            </w:r>
          </w:p>
        </w:tc>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Risk tier documentation at BEFORE checkpoint</w:t>
            </w:r>
          </w:p>
        </w:tc>
        <w:tc>
          <w:tcPr>
            <w:tcW w:w="2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Risk classification record in audit trail</w:t>
            </w:r>
          </w:p>
        </w:tc>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Supporting</w:t>
            </w:r>
          </w:p>
        </w:tc>
      </w:tr>
      <w:tr w:rsidR="003472A0">
        <w:tblPrEx>
          <w:tblCellMar>
            <w:top w:w="0" w:type="dxa"/>
            <w:bottom w:w="0" w:type="dxa"/>
          </w:tblCellMar>
        </w:tblPrEx>
        <w:trPr>
          <w:cantSplit/>
        </w:trPr>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Art. 9</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Risk management system</w:t>
            </w:r>
          </w:p>
        </w:tc>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CBG v4.2.1; Navigator dissent; automation bias detection</w:t>
            </w:r>
          </w:p>
        </w:tc>
        <w:tc>
          <w:tcPr>
            <w:tcW w:w="2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Continuous risk records; Escalation Trigger Records</w:t>
            </w:r>
          </w:p>
        </w:tc>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Supporting</w:t>
            </w:r>
          </w:p>
        </w:tc>
      </w:tr>
      <w:tr w:rsidR="003472A0">
        <w:tblPrEx>
          <w:tblCellMar>
            <w:top w:w="0" w:type="dxa"/>
            <w:bottom w:w="0" w:type="dxa"/>
          </w:tblCellMar>
        </w:tblPrEx>
        <w:trPr>
          <w:cantSplit/>
        </w:trPr>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Art. 10</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Data and data governance</w:t>
            </w:r>
          </w:p>
        </w:tc>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PHC four-tier classification; triangulation compensating control</w:t>
            </w:r>
          </w:p>
        </w:tc>
        <w:tc>
          <w:tcPr>
            <w:tcW w:w="2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Data classification records; cross-validation logs</w:t>
            </w:r>
          </w:p>
        </w:tc>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Supporting</w:t>
            </w:r>
          </w:p>
        </w:tc>
      </w:tr>
      <w:tr w:rsidR="003472A0">
        <w:tblPrEx>
          <w:tblCellMar>
            <w:top w:w="0" w:type="dxa"/>
            <w:bottom w:w="0" w:type="dxa"/>
          </w:tblCellMar>
        </w:tblPrEx>
        <w:trPr>
          <w:cantSplit/>
        </w:trPr>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Art. 11 + Annex IV</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Technical documentation</w:t>
            </w:r>
          </w:p>
        </w:tc>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Annex IV Template v1.0; six audit record types</w:t>
            </w:r>
          </w:p>
        </w:tc>
        <w:tc>
          <w:tcPr>
            <w:tcW w:w="2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Complete Annex IV package from audit trail</w:t>
            </w:r>
          </w:p>
        </w:tc>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Sufficient</w:t>
            </w:r>
          </w:p>
        </w:tc>
      </w:tr>
      <w:tr w:rsidR="003472A0">
        <w:tblPrEx>
          <w:tblCellMar>
            <w:top w:w="0" w:type="dxa"/>
            <w:bottom w:w="0" w:type="dxa"/>
          </w:tblCellMar>
        </w:tblPrEx>
        <w:trPr>
          <w:cantSplit/>
        </w:trPr>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Art. 12</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Record-keeping / logging</w:t>
            </w:r>
          </w:p>
        </w:tc>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Append-only, hash-chained audit trail (Appendix A)</w:t>
            </w:r>
          </w:p>
        </w:tc>
        <w:tc>
          <w:tcPr>
            <w:tcW w:w="2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Verifiable audit file per Appendix A</w:t>
            </w:r>
          </w:p>
        </w:tc>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Sufficient</w:t>
            </w:r>
          </w:p>
        </w:tc>
      </w:tr>
      <w:tr w:rsidR="003472A0">
        <w:tblPrEx>
          <w:tblCellMar>
            <w:top w:w="0" w:type="dxa"/>
            <w:bottom w:w="0" w:type="dxa"/>
          </w:tblCellMar>
        </w:tblPrEx>
        <w:trPr>
          <w:cantSplit/>
        </w:trPr>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Art. 13</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Transparency and information</w:t>
            </w:r>
          </w:p>
        </w:tc>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Five-mechanism transparency protocol (Section 5.3)</w:t>
            </w:r>
          </w:p>
        </w:tc>
        <w:tc>
          <w:tcPr>
            <w:tcW w:w="2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Role attribution, dissent records, agreement rates</w:t>
            </w:r>
          </w:p>
        </w:tc>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Supporting</w:t>
            </w:r>
          </w:p>
        </w:tc>
      </w:tr>
      <w:tr w:rsidR="003472A0">
        <w:tblPrEx>
          <w:tblCellMar>
            <w:top w:w="0" w:type="dxa"/>
            <w:bottom w:w="0" w:type="dxa"/>
          </w:tblCellMar>
        </w:tblPrEx>
        <w:trPr>
          <w:cantSplit/>
        </w:trPr>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Art. 14</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Human oversight</w:t>
            </w:r>
          </w:p>
        </w:tc>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Mandatory human arbitration at all checkpoints</w:t>
            </w:r>
          </w:p>
        </w:tc>
        <w:tc>
          <w:tcPr>
            <w:tcW w:w="2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Arbitration and Decision Records with identity binding</w:t>
            </w:r>
          </w:p>
        </w:tc>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Sufficient</w:t>
            </w:r>
          </w:p>
        </w:tc>
      </w:tr>
      <w:tr w:rsidR="003472A0">
        <w:tblPrEx>
          <w:tblCellMar>
            <w:top w:w="0" w:type="dxa"/>
            <w:bottom w:w="0" w:type="dxa"/>
          </w:tblCellMar>
        </w:tblPrEx>
        <w:trPr>
          <w:cantSplit/>
        </w:trPr>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Art. 15</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Accuracy, robustness, cybersecurity</w:t>
            </w:r>
          </w:p>
        </w:tc>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Multi-AI triangulation; agent security architecture</w:t>
            </w:r>
          </w:p>
        </w:tc>
        <w:tc>
          <w:tcPr>
            <w:tcW w:w="2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Cross-validation records; security documentation</w:t>
            </w:r>
          </w:p>
        </w:tc>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Supporting</w:t>
            </w:r>
          </w:p>
        </w:tc>
      </w:tr>
      <w:tr w:rsidR="003472A0">
        <w:tblPrEx>
          <w:tblCellMar>
            <w:top w:w="0" w:type="dxa"/>
            <w:bottom w:w="0" w:type="dxa"/>
          </w:tblCellMar>
        </w:tblPrEx>
        <w:trPr>
          <w:cantSplit/>
        </w:trPr>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Art. 17</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Quality management system</w:t>
            </w:r>
          </w:p>
        </w:tc>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Documentation infrastructure supporting 6 of 12 prEN 18286 QMS elements</w:t>
            </w:r>
          </w:p>
        </w:tc>
        <w:tc>
          <w:tcPr>
            <w:tcW w:w="2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QMS-compatible records</w:t>
            </w:r>
          </w:p>
        </w:tc>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Supporting</w:t>
            </w:r>
          </w:p>
        </w:tc>
      </w:tr>
      <w:tr w:rsidR="003472A0">
        <w:tblPrEx>
          <w:tblCellMar>
            <w:top w:w="0" w:type="dxa"/>
            <w:bottom w:w="0" w:type="dxa"/>
          </w:tblCellMar>
        </w:tblPrEx>
        <w:trPr>
          <w:cantSplit/>
        </w:trPr>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Art. 27</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Fundamental rights impact assessment</w:t>
            </w:r>
          </w:p>
        </w:tc>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Not addressed; deployer responsibility</w:t>
            </w:r>
          </w:p>
        </w:tc>
        <w:tc>
          <w:tcPr>
            <w:tcW w:w="2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None</w:t>
            </w:r>
          </w:p>
        </w:tc>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Out of Scope</w:t>
            </w:r>
          </w:p>
        </w:tc>
      </w:tr>
      <w:tr w:rsidR="003472A0">
        <w:tblPrEx>
          <w:tblCellMar>
            <w:top w:w="0" w:type="dxa"/>
            <w:bottom w:w="0" w:type="dxa"/>
          </w:tblCellMar>
        </w:tblPrEx>
        <w:trPr>
          <w:cantSplit/>
        </w:trPr>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Art. 47</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EU Declaration of Conformity</w:t>
            </w:r>
          </w:p>
        </w:tc>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Annex IV evidentiary infrastructure</w:t>
            </w:r>
          </w:p>
        </w:tc>
        <w:tc>
          <w:tcPr>
            <w:tcW w:w="2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Evidence package for declaration</w:t>
            </w:r>
          </w:p>
        </w:tc>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Supporting</w:t>
            </w:r>
          </w:p>
        </w:tc>
      </w:tr>
      <w:tr w:rsidR="003472A0">
        <w:tblPrEx>
          <w:tblCellMar>
            <w:top w:w="0" w:type="dxa"/>
            <w:bottom w:w="0" w:type="dxa"/>
          </w:tblCellMar>
        </w:tblPrEx>
        <w:trPr>
          <w:cantSplit/>
        </w:trPr>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Art. 48</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CE marking</w:t>
            </w:r>
          </w:p>
        </w:tc>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Follows from conformity assessment</w:t>
            </w:r>
          </w:p>
        </w:tc>
        <w:tc>
          <w:tcPr>
            <w:tcW w:w="2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None</w:t>
            </w:r>
          </w:p>
        </w:tc>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Out of Scope</w:t>
            </w:r>
          </w:p>
        </w:tc>
      </w:tr>
      <w:tr w:rsidR="003472A0">
        <w:tblPrEx>
          <w:tblCellMar>
            <w:top w:w="0" w:type="dxa"/>
            <w:bottom w:w="0" w:type="dxa"/>
          </w:tblCellMar>
        </w:tblPrEx>
        <w:trPr>
          <w:cantSplit/>
        </w:trPr>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Art. 50</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Transparency for certain AI systems</w:t>
            </w:r>
          </w:p>
        </w:tc>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Two-level content marking protocol</w:t>
            </w:r>
          </w:p>
        </w:tc>
        <w:tc>
          <w:tcPr>
            <w:tcW w:w="2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Provenance metadata; content labels</w:t>
            </w:r>
          </w:p>
        </w:tc>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Supporting</w:t>
            </w:r>
          </w:p>
        </w:tc>
      </w:tr>
      <w:tr w:rsidR="003472A0">
        <w:tblPrEx>
          <w:tblCellMar>
            <w:top w:w="0" w:type="dxa"/>
            <w:bottom w:w="0" w:type="dxa"/>
          </w:tblCellMar>
        </w:tblPrEx>
        <w:trPr>
          <w:cantSplit/>
        </w:trPr>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Art. 53</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GPAI model obligations</w:t>
            </w:r>
          </w:p>
        </w:tc>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Not applicable; framework queries, does not train models</w:t>
            </w:r>
          </w:p>
        </w:tc>
        <w:tc>
          <w:tcPr>
            <w:tcW w:w="2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None</w:t>
            </w:r>
          </w:p>
        </w:tc>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Out of Scope</w:t>
            </w:r>
          </w:p>
        </w:tc>
      </w:tr>
      <w:tr w:rsidR="003472A0">
        <w:tblPrEx>
          <w:tblCellMar>
            <w:top w:w="0" w:type="dxa"/>
            <w:bottom w:w="0" w:type="dxa"/>
          </w:tblCellMar>
        </w:tblPrEx>
        <w:trPr>
          <w:cantSplit/>
        </w:trPr>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Art. 72</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Post-market monitoring</w:t>
            </w:r>
          </w:p>
        </w:tc>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Audit trail supports monitoring data collection</w:t>
            </w:r>
          </w:p>
        </w:tc>
        <w:tc>
          <w:tcPr>
            <w:tcW w:w="2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Longitudinal performance records</w:t>
            </w:r>
          </w:p>
        </w:tc>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Supporting</w:t>
            </w:r>
          </w:p>
        </w:tc>
      </w:tr>
      <w:tr w:rsidR="003472A0">
        <w:tblPrEx>
          <w:tblCellMar>
            <w:top w:w="0" w:type="dxa"/>
            <w:bottom w:w="0" w:type="dxa"/>
          </w:tblCellMar>
        </w:tblPrEx>
        <w:trPr>
          <w:cantSplit/>
        </w:trPr>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Art. 73</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Incident reporting</w:t>
            </w:r>
          </w:p>
        </w:tc>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Audit trail provides reconstruction evidence</w:t>
            </w:r>
          </w:p>
        </w:tc>
        <w:tc>
          <w:tcPr>
            <w:tcW w:w="2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Incident reconstruction package</w:t>
            </w:r>
          </w:p>
        </w:tc>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Supporting</w:t>
            </w:r>
          </w:p>
        </w:tc>
      </w:tr>
      <w:tr w:rsidR="003472A0">
        <w:tblPrEx>
          <w:tblCellMar>
            <w:top w:w="0" w:type="dxa"/>
            <w:bottom w:w="0" w:type="dxa"/>
          </w:tblCellMar>
        </w:tblPrEx>
        <w:trPr>
          <w:cantSplit/>
        </w:trPr>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Annex VI</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Internal control conformity procedure</w:t>
            </w:r>
          </w:p>
        </w:tc>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Technical documentation generation</w:t>
            </w:r>
          </w:p>
        </w:tc>
        <w:tc>
          <w:tcPr>
            <w:tcW w:w="2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Annex IV documentation</w:t>
            </w:r>
          </w:p>
        </w:tc>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Supporting</w:t>
            </w:r>
          </w:p>
        </w:tc>
      </w:tr>
      <w:tr w:rsidR="003472A0">
        <w:tblPrEx>
          <w:tblCellMar>
            <w:top w:w="0" w:type="dxa"/>
            <w:bottom w:w="0" w:type="dxa"/>
          </w:tblCellMar>
        </w:tblPrEx>
        <w:trPr>
          <w:cantSplit/>
        </w:trPr>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Annex IX</w:t>
            </w:r>
          </w:p>
        </w:tc>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QMS elements for high-risk AI</w:t>
            </w:r>
          </w:p>
        </w:tc>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Documentation infrastructure supporting prEN 18286 QMS elements</w:t>
            </w:r>
          </w:p>
        </w:tc>
        <w:tc>
          <w:tcPr>
            <w:tcW w:w="2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QMS-compatible records</w:t>
            </w:r>
          </w:p>
        </w:tc>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Supporting</w:t>
            </w:r>
          </w:p>
        </w:tc>
      </w:tr>
    </w:tbl>
    <w:p w:rsidR="003472A0" w:rsidRDefault="003472A0"/>
    <w:p w:rsidR="003472A0" w:rsidRDefault="00CC3482">
      <w:pPr>
        <w:pStyle w:val="Heading2"/>
        <w:keepNext/>
        <w:keepLines/>
      </w:pPr>
      <w:r>
        <w:t>C.2 General Data Protection Regulation (EU 2016/679)</w:t>
      </w:r>
    </w:p>
    <w:tbl>
      <w:tblPr>
        <w:tblW w:w="5000" w:type="pc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700"/>
        <w:gridCol w:w="2500"/>
        <w:gridCol w:w="1800"/>
        <w:gridCol w:w="1200"/>
      </w:tblGrid>
      <w:tr w:rsidR="003472A0">
        <w:tblPrEx>
          <w:tblCellMar>
            <w:top w:w="0" w:type="dxa"/>
            <w:bottom w:w="0" w:type="dxa"/>
          </w:tblCellMar>
        </w:tblPrEx>
        <w:trPr>
          <w:cantSplit/>
        </w:trPr>
        <w:tc>
          <w:tcPr>
            <w:tcW w:w="100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18"/>
                <w:szCs w:val="18"/>
              </w:rPr>
              <w:t>Article</w:t>
            </w:r>
          </w:p>
        </w:tc>
        <w:tc>
          <w:tcPr>
            <w:tcW w:w="170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18"/>
                <w:szCs w:val="18"/>
              </w:rPr>
              <w:t>Requirement</w:t>
            </w:r>
          </w:p>
        </w:tc>
        <w:tc>
          <w:tcPr>
            <w:tcW w:w="250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18"/>
                <w:szCs w:val="18"/>
              </w:rPr>
              <w:t>HAIA-RECCLIN Control</w:t>
            </w:r>
          </w:p>
        </w:tc>
        <w:tc>
          <w:tcPr>
            <w:tcW w:w="180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18"/>
                <w:szCs w:val="18"/>
              </w:rPr>
              <w:t>Artifact</w:t>
            </w:r>
          </w:p>
        </w:tc>
        <w:tc>
          <w:tcPr>
            <w:tcW w:w="120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18"/>
                <w:szCs w:val="18"/>
              </w:rPr>
              <w:t>Sufficiency</w:t>
            </w:r>
          </w:p>
        </w:tc>
      </w:tr>
      <w:tr w:rsidR="003472A0">
        <w:tblPrEx>
          <w:tblCellMar>
            <w:top w:w="0" w:type="dxa"/>
            <w:bottom w:w="0" w:type="dxa"/>
          </w:tblCellMar>
        </w:tblPrEx>
        <w:trPr>
          <w:cantSplit/>
        </w:trPr>
        <w:tc>
          <w:tcPr>
            <w:tcW w:w="1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Art. 5(1)(b)</w:t>
            </w:r>
          </w:p>
        </w:tc>
        <w:tc>
          <w:tcPr>
            <w:tcW w:w="17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Purpose limitation</w:t>
            </w:r>
          </w:p>
        </w:tc>
        <w:tc>
          <w:tcPr>
            <w:tcW w:w="25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BEFORE checkpoint purpose documentation</w:t>
            </w:r>
          </w:p>
        </w:tc>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Purpose records in audit trail</w:t>
            </w:r>
          </w:p>
        </w:tc>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Supporting</w:t>
            </w:r>
          </w:p>
        </w:tc>
      </w:tr>
      <w:tr w:rsidR="003472A0">
        <w:tblPrEx>
          <w:tblCellMar>
            <w:top w:w="0" w:type="dxa"/>
            <w:bottom w:w="0" w:type="dxa"/>
          </w:tblCellMar>
        </w:tblPrEx>
        <w:trPr>
          <w:cantSplit/>
        </w:trPr>
        <w:tc>
          <w:tcPr>
            <w:tcW w:w="1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Art. 5(1)(c)</w:t>
            </w:r>
          </w:p>
        </w:tc>
        <w:tc>
          <w:tcPr>
            <w:tcW w:w="17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Data minimization</w:t>
            </w:r>
          </w:p>
        </w:tc>
        <w:tc>
          <w:tcPr>
            <w:tcW w:w="25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PHC tier gates; BEFORE checkpoint assessment</w:t>
            </w:r>
          </w:p>
        </w:tc>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Data scope authorization records</w:t>
            </w:r>
          </w:p>
        </w:tc>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Sufficient</w:t>
            </w:r>
          </w:p>
        </w:tc>
      </w:tr>
      <w:tr w:rsidR="003472A0">
        <w:tblPrEx>
          <w:tblCellMar>
            <w:top w:w="0" w:type="dxa"/>
            <w:bottom w:w="0" w:type="dxa"/>
          </w:tblCellMar>
        </w:tblPrEx>
        <w:trPr>
          <w:cantSplit/>
        </w:trPr>
        <w:tc>
          <w:tcPr>
            <w:tcW w:w="1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Art. 5(2)</w:t>
            </w:r>
          </w:p>
        </w:tc>
        <w:tc>
          <w:tcPr>
            <w:tcW w:w="17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Accountability</w:t>
            </w:r>
          </w:p>
        </w:tc>
        <w:tc>
          <w:tcPr>
            <w:tcW w:w="25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Complete audit trail with identity binding</w:t>
            </w:r>
          </w:p>
        </w:tc>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Full governance evidence chain</w:t>
            </w:r>
          </w:p>
        </w:tc>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Sufficient</w:t>
            </w:r>
          </w:p>
        </w:tc>
      </w:tr>
      <w:tr w:rsidR="003472A0">
        <w:tblPrEx>
          <w:tblCellMar>
            <w:top w:w="0" w:type="dxa"/>
            <w:bottom w:w="0" w:type="dxa"/>
          </w:tblCellMar>
        </w:tblPrEx>
        <w:trPr>
          <w:cantSplit/>
        </w:trPr>
        <w:tc>
          <w:tcPr>
            <w:tcW w:w="1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Art. 6</w:t>
            </w:r>
          </w:p>
        </w:tc>
        <w:tc>
          <w:tcPr>
            <w:tcW w:w="17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Lawful basis</w:t>
            </w:r>
          </w:p>
        </w:tc>
        <w:tc>
          <w:tcPr>
            <w:tcW w:w="25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PHC Component C lawful basis documentation</w:t>
            </w:r>
          </w:p>
        </w:tc>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Lawful basis records</w:t>
            </w:r>
          </w:p>
        </w:tc>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Supporting</w:t>
            </w:r>
          </w:p>
        </w:tc>
      </w:tr>
      <w:tr w:rsidR="003472A0">
        <w:tblPrEx>
          <w:tblCellMar>
            <w:top w:w="0" w:type="dxa"/>
            <w:bottom w:w="0" w:type="dxa"/>
          </w:tblCellMar>
        </w:tblPrEx>
        <w:trPr>
          <w:cantSplit/>
        </w:trPr>
        <w:tc>
          <w:tcPr>
            <w:tcW w:w="1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Art. 7</w:t>
            </w:r>
          </w:p>
        </w:tc>
        <w:tc>
          <w:tcPr>
            <w:tcW w:w="17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Consent management</w:t>
            </w:r>
          </w:p>
        </w:tc>
        <w:tc>
          <w:tcPr>
            <w:tcW w:w="25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PHC flags consent-dependent data</w:t>
            </w:r>
          </w:p>
        </w:tc>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Consent status verification records</w:t>
            </w:r>
          </w:p>
        </w:tc>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Out of Scope</w:t>
            </w:r>
          </w:p>
        </w:tc>
      </w:tr>
      <w:tr w:rsidR="003472A0">
        <w:tblPrEx>
          <w:tblCellMar>
            <w:top w:w="0" w:type="dxa"/>
            <w:bottom w:w="0" w:type="dxa"/>
          </w:tblCellMar>
        </w:tblPrEx>
        <w:trPr>
          <w:cantSplit/>
        </w:trPr>
        <w:tc>
          <w:tcPr>
            <w:tcW w:w="1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Art. 13/14</w:t>
            </w:r>
          </w:p>
        </w:tc>
        <w:tc>
          <w:tcPr>
            <w:tcW w:w="17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Right to be informed</w:t>
            </w:r>
          </w:p>
        </w:tc>
        <w:tc>
          <w:tcPr>
            <w:tcW w:w="25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Audit trail supports disclosure</w:t>
            </w:r>
          </w:p>
        </w:tc>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Processing records for privacy notices</w:t>
            </w:r>
          </w:p>
        </w:tc>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Supporting</w:t>
            </w:r>
          </w:p>
        </w:tc>
      </w:tr>
      <w:tr w:rsidR="003472A0">
        <w:tblPrEx>
          <w:tblCellMar>
            <w:top w:w="0" w:type="dxa"/>
            <w:bottom w:w="0" w:type="dxa"/>
          </w:tblCellMar>
        </w:tblPrEx>
        <w:trPr>
          <w:cantSplit/>
        </w:trPr>
        <w:tc>
          <w:tcPr>
            <w:tcW w:w="1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Art. 15</w:t>
            </w:r>
          </w:p>
        </w:tc>
        <w:tc>
          <w:tcPr>
            <w:tcW w:w="17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Right of access</w:t>
            </w:r>
          </w:p>
        </w:tc>
        <w:tc>
          <w:tcPr>
            <w:tcW w:w="25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Structured searchable audit records</w:t>
            </w:r>
          </w:p>
        </w:tc>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Data subject access report</w:t>
            </w:r>
          </w:p>
        </w:tc>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Supporting</w:t>
            </w:r>
          </w:p>
        </w:tc>
      </w:tr>
      <w:tr w:rsidR="003472A0">
        <w:tblPrEx>
          <w:tblCellMar>
            <w:top w:w="0" w:type="dxa"/>
            <w:bottom w:w="0" w:type="dxa"/>
          </w:tblCellMar>
        </w:tblPrEx>
        <w:trPr>
          <w:cantSplit/>
        </w:trPr>
        <w:tc>
          <w:tcPr>
            <w:tcW w:w="1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Art. 17</w:t>
            </w:r>
          </w:p>
        </w:tc>
        <w:tc>
          <w:tcPr>
            <w:tcW w:w="17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Right to erasure</w:t>
            </w:r>
          </w:p>
        </w:tc>
        <w:tc>
          <w:tcPr>
            <w:tcW w:w="25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Bridge Record procedure (Appendix A.6)</w:t>
            </w:r>
          </w:p>
        </w:tc>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Anonymized records; Bridge Records</w:t>
            </w:r>
          </w:p>
        </w:tc>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Supporting</w:t>
            </w:r>
          </w:p>
        </w:tc>
      </w:tr>
      <w:tr w:rsidR="003472A0">
        <w:tblPrEx>
          <w:tblCellMar>
            <w:top w:w="0" w:type="dxa"/>
            <w:bottom w:w="0" w:type="dxa"/>
          </w:tblCellMar>
        </w:tblPrEx>
        <w:trPr>
          <w:cantSplit/>
        </w:trPr>
        <w:tc>
          <w:tcPr>
            <w:tcW w:w="1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Art. 20</w:t>
            </w:r>
          </w:p>
        </w:tc>
        <w:tc>
          <w:tcPr>
            <w:tcW w:w="17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Data portability</w:t>
            </w:r>
          </w:p>
        </w:tc>
        <w:tc>
          <w:tcPr>
            <w:tcW w:w="25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Structured export-compatible records</w:t>
            </w:r>
          </w:p>
        </w:tc>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Machine-readable record export</w:t>
            </w:r>
          </w:p>
        </w:tc>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Supporting</w:t>
            </w:r>
          </w:p>
        </w:tc>
      </w:tr>
      <w:tr w:rsidR="003472A0">
        <w:tblPrEx>
          <w:tblCellMar>
            <w:top w:w="0" w:type="dxa"/>
            <w:bottom w:w="0" w:type="dxa"/>
          </w:tblCellMar>
        </w:tblPrEx>
        <w:trPr>
          <w:cantSplit/>
        </w:trPr>
        <w:tc>
          <w:tcPr>
            <w:tcW w:w="1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Art. 22</w:t>
            </w:r>
          </w:p>
        </w:tc>
        <w:tc>
          <w:tcPr>
            <w:tcW w:w="17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Automated decision safeguards</w:t>
            </w:r>
          </w:p>
        </w:tc>
        <w:tc>
          <w:tcPr>
            <w:tcW w:w="25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Mandatory human arbitration at every stage</w:t>
            </w:r>
          </w:p>
        </w:tc>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Human decision records at all checkpoints</w:t>
            </w:r>
          </w:p>
        </w:tc>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Sufficient</w:t>
            </w:r>
          </w:p>
        </w:tc>
      </w:tr>
      <w:tr w:rsidR="003472A0">
        <w:tblPrEx>
          <w:tblCellMar>
            <w:top w:w="0" w:type="dxa"/>
            <w:bottom w:w="0" w:type="dxa"/>
          </w:tblCellMar>
        </w:tblPrEx>
        <w:trPr>
          <w:cantSplit/>
        </w:trPr>
        <w:tc>
          <w:tcPr>
            <w:tcW w:w="1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Art. 25</w:t>
            </w:r>
          </w:p>
        </w:tc>
        <w:tc>
          <w:tcPr>
            <w:tcW w:w="17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Data protection by design</w:t>
            </w:r>
          </w:p>
        </w:tc>
        <w:tc>
          <w:tcPr>
            <w:tcW w:w="25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PHC anonymization; tier classification</w:t>
            </w:r>
          </w:p>
        </w:tc>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Privacy architecture documentation</w:t>
            </w:r>
          </w:p>
        </w:tc>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Supporting</w:t>
            </w:r>
          </w:p>
        </w:tc>
      </w:tr>
      <w:tr w:rsidR="003472A0">
        <w:tblPrEx>
          <w:tblCellMar>
            <w:top w:w="0" w:type="dxa"/>
            <w:bottom w:w="0" w:type="dxa"/>
          </w:tblCellMar>
        </w:tblPrEx>
        <w:trPr>
          <w:cantSplit/>
        </w:trPr>
        <w:tc>
          <w:tcPr>
            <w:tcW w:w="1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Art. 32</w:t>
            </w:r>
          </w:p>
        </w:tc>
        <w:tc>
          <w:tcPr>
            <w:tcW w:w="17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Security of processing</w:t>
            </w:r>
          </w:p>
        </w:tc>
        <w:tc>
          <w:tcPr>
            <w:tcW w:w="25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Agent security architecture; cryptographic controls</w:t>
            </w:r>
          </w:p>
        </w:tc>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Security control documentation</w:t>
            </w:r>
          </w:p>
        </w:tc>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Supporting</w:t>
            </w:r>
          </w:p>
        </w:tc>
      </w:tr>
    </w:tbl>
    <w:p w:rsidR="003472A0" w:rsidRDefault="003472A0"/>
    <w:p w:rsidR="003472A0" w:rsidRDefault="00CC3482">
      <w:pPr>
        <w:pStyle w:val="Heading2"/>
        <w:keepNext/>
        <w:keepLines/>
      </w:pPr>
      <w:r>
        <w:t>C.3 ISO, NIST, and Sector-Specific Frameworks</w:t>
      </w:r>
    </w:p>
    <w:tbl>
      <w:tblPr>
        <w:tblW w:w="5000" w:type="pc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800"/>
        <w:gridCol w:w="1200"/>
      </w:tblGrid>
      <w:tr w:rsidR="003472A0">
        <w:tblPrEx>
          <w:tblCellMar>
            <w:top w:w="0" w:type="dxa"/>
            <w:bottom w:w="0" w:type="dxa"/>
          </w:tblCellMar>
        </w:tblPrEx>
        <w:trPr>
          <w:cantSplit/>
        </w:trPr>
        <w:tc>
          <w:tcPr>
            <w:tcW w:w="160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18"/>
                <w:szCs w:val="18"/>
              </w:rPr>
              <w:t>Framework</w:t>
            </w:r>
          </w:p>
        </w:tc>
        <w:tc>
          <w:tcPr>
            <w:tcW w:w="220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18"/>
                <w:szCs w:val="18"/>
              </w:rPr>
              <w:t>Control Family</w:t>
            </w:r>
          </w:p>
        </w:tc>
        <w:tc>
          <w:tcPr>
            <w:tcW w:w="280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18"/>
                <w:szCs w:val="18"/>
              </w:rPr>
              <w:t>HAIA-RECCLIN Control</w:t>
            </w:r>
          </w:p>
        </w:tc>
        <w:tc>
          <w:tcPr>
            <w:tcW w:w="120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18"/>
                <w:szCs w:val="18"/>
              </w:rPr>
              <w:t>Sufficiency</w:t>
            </w:r>
          </w:p>
        </w:tc>
      </w:tr>
      <w:tr w:rsidR="003472A0">
        <w:tblPrEx>
          <w:tblCellMar>
            <w:top w:w="0" w:type="dxa"/>
            <w:bottom w:w="0" w:type="dxa"/>
          </w:tblCellMar>
        </w:tblPrEx>
        <w:trPr>
          <w:cantSplit/>
        </w:trPr>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ISO/IEC 42001:2023</w:t>
            </w:r>
          </w:p>
        </w:tc>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Clause 6.1 Risk assessment</w:t>
            </w:r>
          </w:p>
        </w:tc>
        <w:tc>
          <w:tcPr>
            <w:tcW w:w="2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CBG v4.2.1; Navigator dissent; triangulation</w:t>
            </w:r>
          </w:p>
        </w:tc>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Supporting</w:t>
            </w:r>
          </w:p>
        </w:tc>
      </w:tr>
      <w:tr w:rsidR="003472A0">
        <w:tblPrEx>
          <w:tblCellMar>
            <w:top w:w="0" w:type="dxa"/>
            <w:bottom w:w="0" w:type="dxa"/>
          </w:tblCellMar>
        </w:tblPrEx>
        <w:trPr>
          <w:cantSplit/>
        </w:trPr>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ISO/IEC 42001:2023</w:t>
            </w:r>
          </w:p>
        </w:tc>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Clause 7.5 Documented information</w:t>
            </w:r>
          </w:p>
        </w:tc>
        <w:tc>
          <w:tcPr>
            <w:tcW w:w="2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Six record types; Annex IV Template</w:t>
            </w:r>
          </w:p>
        </w:tc>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Sufficient</w:t>
            </w:r>
          </w:p>
        </w:tc>
      </w:tr>
      <w:tr w:rsidR="003472A0">
        <w:tblPrEx>
          <w:tblCellMar>
            <w:top w:w="0" w:type="dxa"/>
            <w:bottom w:w="0" w:type="dxa"/>
          </w:tblCellMar>
        </w:tblPrEx>
        <w:trPr>
          <w:cantSplit/>
        </w:trPr>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ISO/IEC 42001:2023</w:t>
            </w:r>
          </w:p>
        </w:tc>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Clause 9.1 Monitoring and measurement</w:t>
            </w:r>
          </w:p>
        </w:tc>
        <w:tc>
          <w:tcPr>
            <w:tcW w:w="2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HEQ scoring; automation bias metrics (Appendix B)</w:t>
            </w:r>
          </w:p>
        </w:tc>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Supporting</w:t>
            </w:r>
          </w:p>
        </w:tc>
      </w:tr>
      <w:tr w:rsidR="003472A0">
        <w:tblPrEx>
          <w:tblCellMar>
            <w:top w:w="0" w:type="dxa"/>
            <w:bottom w:w="0" w:type="dxa"/>
          </w:tblCellMar>
        </w:tblPrEx>
        <w:trPr>
          <w:cantSplit/>
        </w:trPr>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ISO/IEC 42001:2023</w:t>
            </w:r>
          </w:p>
        </w:tc>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Clause 10.1 Continual improvement</w:t>
            </w:r>
          </w:p>
        </w:tc>
        <w:tc>
          <w:tcPr>
            <w:tcW w:w="2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Post-project Navigator audit; escalation triggers</w:t>
            </w:r>
          </w:p>
        </w:tc>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Supporting</w:t>
            </w:r>
          </w:p>
        </w:tc>
      </w:tr>
      <w:tr w:rsidR="003472A0">
        <w:tblPrEx>
          <w:tblCellMar>
            <w:top w:w="0" w:type="dxa"/>
            <w:bottom w:w="0" w:type="dxa"/>
          </w:tblCellMar>
        </w:tblPrEx>
        <w:trPr>
          <w:cantSplit/>
        </w:trPr>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ISO/IEC 27001:2022</w:t>
            </w:r>
          </w:p>
        </w:tc>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A.8.15 Logging</w:t>
            </w:r>
          </w:p>
        </w:tc>
        <w:tc>
          <w:tcPr>
            <w:tcW w:w="2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Append-only hash-chained audit trail</w:t>
            </w:r>
          </w:p>
        </w:tc>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Sufficient</w:t>
            </w:r>
          </w:p>
        </w:tc>
      </w:tr>
      <w:tr w:rsidR="003472A0">
        <w:tblPrEx>
          <w:tblCellMar>
            <w:top w:w="0" w:type="dxa"/>
            <w:bottom w:w="0" w:type="dxa"/>
          </w:tblCellMar>
        </w:tblPrEx>
        <w:trPr>
          <w:cantSplit/>
        </w:trPr>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ISO/IEC 27001:2022</w:t>
            </w:r>
          </w:p>
        </w:tc>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A.8.3 Information access restriction</w:t>
            </w:r>
          </w:p>
        </w:tc>
        <w:tc>
          <w:tcPr>
            <w:tcW w:w="2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PHC tier classification; checkpoint authorization</w:t>
            </w:r>
          </w:p>
        </w:tc>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Supporting</w:t>
            </w:r>
          </w:p>
        </w:tc>
      </w:tr>
      <w:tr w:rsidR="003472A0">
        <w:tblPrEx>
          <w:tblCellMar>
            <w:top w:w="0" w:type="dxa"/>
            <w:bottom w:w="0" w:type="dxa"/>
          </w:tblCellMar>
        </w:tblPrEx>
        <w:trPr>
          <w:cantSplit/>
        </w:trPr>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ISO/IEC 27001:2022</w:t>
            </w:r>
          </w:p>
        </w:tc>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A.8.24 Use of cryptography</w:t>
            </w:r>
          </w:p>
        </w:tc>
        <w:tc>
          <w:tcPr>
            <w:tcW w:w="2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Cryptographic controls per Appendix A</w:t>
            </w:r>
          </w:p>
        </w:tc>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Sufficient</w:t>
            </w:r>
          </w:p>
        </w:tc>
      </w:tr>
      <w:tr w:rsidR="003472A0">
        <w:tblPrEx>
          <w:tblCellMar>
            <w:top w:w="0" w:type="dxa"/>
            <w:bottom w:w="0" w:type="dxa"/>
          </w:tblCellMar>
        </w:tblPrEx>
        <w:trPr>
          <w:cantSplit/>
        </w:trPr>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NIST AI RMF</w:t>
            </w:r>
          </w:p>
        </w:tc>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GOVERN 1: Policies and procedures</w:t>
            </w:r>
          </w:p>
        </w:tc>
        <w:tc>
          <w:tcPr>
            <w:tcW w:w="2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Three operating models; checkpoint governance</w:t>
            </w:r>
          </w:p>
        </w:tc>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Sufficient</w:t>
            </w:r>
          </w:p>
        </w:tc>
      </w:tr>
      <w:tr w:rsidR="003472A0">
        <w:tblPrEx>
          <w:tblCellMar>
            <w:top w:w="0" w:type="dxa"/>
            <w:bottom w:w="0" w:type="dxa"/>
          </w:tblCellMar>
        </w:tblPrEx>
        <w:trPr>
          <w:cantSplit/>
        </w:trPr>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NIST AI RMF</w:t>
            </w:r>
          </w:p>
        </w:tc>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MAP 3: AI risks identified</w:t>
            </w:r>
          </w:p>
        </w:tc>
        <w:tc>
          <w:tcPr>
            <w:tcW w:w="2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Failure modes; Navigator dissent; triangulation</w:t>
            </w:r>
          </w:p>
        </w:tc>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Supporting</w:t>
            </w:r>
          </w:p>
        </w:tc>
      </w:tr>
      <w:tr w:rsidR="003472A0">
        <w:tblPrEx>
          <w:tblCellMar>
            <w:top w:w="0" w:type="dxa"/>
            <w:bottom w:w="0" w:type="dxa"/>
          </w:tblCellMar>
        </w:tblPrEx>
        <w:trPr>
          <w:cantSplit/>
        </w:trPr>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NIST AI RMF</w:t>
            </w:r>
          </w:p>
        </w:tc>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MEASURE 2: AI systems evaluated</w:t>
            </w:r>
          </w:p>
        </w:tc>
        <w:tc>
          <w:tcPr>
            <w:tcW w:w="2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HEQ; cross-validation rates; automation bias metrics</w:t>
            </w:r>
          </w:p>
        </w:tc>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Sufficient</w:t>
            </w:r>
          </w:p>
        </w:tc>
      </w:tr>
      <w:tr w:rsidR="003472A0">
        <w:tblPrEx>
          <w:tblCellMar>
            <w:top w:w="0" w:type="dxa"/>
            <w:bottom w:w="0" w:type="dxa"/>
          </w:tblCellMar>
        </w:tblPrEx>
        <w:trPr>
          <w:cantSplit/>
        </w:trPr>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NIST AI RMF</w:t>
            </w:r>
          </w:p>
        </w:tc>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MANAGE 2: AI risks mitigated</w:t>
            </w:r>
          </w:p>
        </w:tc>
        <w:tc>
          <w:tcPr>
            <w:tcW w:w="2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Multi-platform triangulation; checkpoint gates</w:t>
            </w:r>
          </w:p>
        </w:tc>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Supporting</w:t>
            </w:r>
          </w:p>
        </w:tc>
      </w:tr>
      <w:tr w:rsidR="003472A0">
        <w:tblPrEx>
          <w:tblCellMar>
            <w:top w:w="0" w:type="dxa"/>
            <w:bottom w:w="0" w:type="dxa"/>
          </w:tblCellMar>
        </w:tblPrEx>
        <w:trPr>
          <w:cantSplit/>
        </w:trPr>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DORA (EU 2022/2554)</w:t>
            </w:r>
          </w:p>
        </w:tc>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Art. 6 ICT risk management</w:t>
            </w:r>
          </w:p>
        </w:tc>
        <w:tc>
          <w:tcPr>
            <w:tcW w:w="2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Agent security architecture; audit integrity</w:t>
            </w:r>
          </w:p>
        </w:tc>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Supporting</w:t>
            </w:r>
          </w:p>
        </w:tc>
      </w:tr>
      <w:tr w:rsidR="003472A0">
        <w:tblPrEx>
          <w:tblCellMar>
            <w:top w:w="0" w:type="dxa"/>
            <w:bottom w:w="0" w:type="dxa"/>
          </w:tblCellMar>
        </w:tblPrEx>
        <w:trPr>
          <w:cantSplit/>
        </w:trPr>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DORA (EU 2022/2554)</w:t>
            </w:r>
          </w:p>
        </w:tc>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Art. 11 Incident reporting</w:t>
            </w:r>
          </w:p>
        </w:tc>
        <w:tc>
          <w:tcPr>
            <w:tcW w:w="2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Audit trail incident reconstruction</w:t>
            </w:r>
          </w:p>
        </w:tc>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Supporting</w:t>
            </w:r>
          </w:p>
        </w:tc>
      </w:tr>
      <w:tr w:rsidR="003472A0">
        <w:tblPrEx>
          <w:tblCellMar>
            <w:top w:w="0" w:type="dxa"/>
            <w:bottom w:w="0" w:type="dxa"/>
          </w:tblCellMar>
        </w:tblPrEx>
        <w:trPr>
          <w:cantSplit/>
        </w:trPr>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NYDFS 23 NYCRR 500</w:t>
            </w:r>
          </w:p>
        </w:tc>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Sec. 500.06 Audit trail</w:t>
            </w:r>
          </w:p>
        </w:tc>
        <w:tc>
          <w:tcPr>
            <w:tcW w:w="2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Append-only, tamper-evident, signed audit records</w:t>
            </w:r>
          </w:p>
        </w:tc>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Sufficient</w:t>
            </w:r>
          </w:p>
        </w:tc>
      </w:tr>
      <w:tr w:rsidR="003472A0">
        <w:tblPrEx>
          <w:tblCellMar>
            <w:top w:w="0" w:type="dxa"/>
            <w:bottom w:w="0" w:type="dxa"/>
          </w:tblCellMar>
        </w:tblPrEx>
        <w:trPr>
          <w:cantSplit/>
        </w:trPr>
        <w:tc>
          <w:tcPr>
            <w:tcW w:w="1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NYDFS 23 NYCRR 500</w:t>
            </w:r>
          </w:p>
        </w:tc>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Sec. 500.14 Monitoring</w:t>
            </w:r>
          </w:p>
        </w:tc>
        <w:tc>
          <w:tcPr>
            <w:tcW w:w="2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Automation bias detection; escalation triggers</w:t>
            </w:r>
          </w:p>
        </w:tc>
        <w:tc>
          <w:tcPr>
            <w:tcW w:w="1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r>
              <w:rPr>
                <w:sz w:val="18"/>
                <w:szCs w:val="18"/>
              </w:rPr>
              <w:t>Supporting</w:t>
            </w:r>
          </w:p>
        </w:tc>
      </w:tr>
    </w:tbl>
    <w:p w:rsidR="003472A0" w:rsidRDefault="003472A0"/>
    <w:p w:rsidR="003472A0" w:rsidRDefault="00CC3482">
      <w:pPr>
        <w:spacing w:after="160" w:line="276" w:lineRule="auto"/>
      </w:pPr>
      <w:r>
        <w:rPr>
          <w:i/>
          <w:iCs/>
        </w:rPr>
        <w:t>prEN 18286 integration note: The draft harmonised standard prEN 18286:2025 (public enquiry completed January 22, 2026, expected publication Q1-Q2 2026) defines twelve core QMS elements for Article 17 compliance. Unlike ISO/IEC 42001, which the EU Commission found not aligned in objectives with the AI Act, prEN 18286 is product-focused and built directly around AI Act requirements, following the medical device QMS model (ISO 13485). Once cited in the Official Journal, it provides presumption of conformity. HAIA-RECCLIN’s audit trail architecture, documentation infrastructure, and checkpoint governance directly support the documentation and record-keeping, risk management integration, testing and validation evidence, incident reporting evidence, technical specifications, and accountability framework elements. The remaining elements (regulatory compliance strategy, design and development controls, data management systems, post-market monitoring operations, communications framework, and resource management) require organizational governance. This specification is complementary to prEN 18286, not competing: HAIA-RECCLIN can be implemented within a prEN 18286-compliant QMS to provide governance capabilities (multi-AI rotation, automation bias detection, dissent preservation, mandatory checkpoints) that exceed the regulatory baseline.</w:t>
      </w:r>
    </w:p>
    <w:p w:rsidR="003472A0" w:rsidRDefault="00CC3482">
      <w:pPr>
        <w:spacing w:after="160" w:line="276" w:lineRule="auto"/>
      </w:pPr>
      <w:r>
        <w:rPr>
          <w:i/>
          <w:iCs/>
        </w:rPr>
        <w:t>Sector-specific note on DORA and NYDFS mappings: HAIA-RECCLIN provides audit trail infrastructure and agent security controls that support compliance evidence for these frameworks. Incident reporting timelines, ICT third-party risk management programs, operational resilience testing, continuous monitoring systems, and cybersecurity event notification procedures are deploying organization responsibilities that require organizational governance beyond the architectural controls mapped here. The distinction between architectural support and organizational obligation applies to every “Supporting” entry in the table above.</w:t>
      </w:r>
    </w:p>
    <w:p w:rsidR="003472A0" w:rsidRDefault="00CC3482">
      <w:pPr>
        <w:spacing w:after="160" w:line="276" w:lineRule="auto"/>
      </w:pPr>
      <w:r>
        <w:rPr>
          <w:i/>
          <w:iCs/>
        </w:rPr>
        <w:t>This mapping is current as of February 2026. The EU Commission’s implementing acts for the AI Act, expected through 2026 and 2027, may introduce harmonised standards and common specifications that modify specific control requirements. Organizations should review this mapping against current regulatory guidance at least quarterly during the EU AI Act phased enforcement period (August 2025 through December 2027).</w:t>
      </w:r>
    </w:p>
    <w:p w:rsidR="003472A0" w:rsidRDefault="003472A0">
      <w:pPr>
        <w:spacing w:after="80"/>
      </w:pPr>
    </w:p>
    <w:p w:rsidR="003472A0" w:rsidRDefault="003472A0">
      <w:pPr>
        <w:spacing w:after="80"/>
      </w:pPr>
    </w:p>
    <w:p w:rsidR="003472A0" w:rsidRDefault="00CC3482">
      <w:pPr>
        <w:spacing w:after="160" w:line="276" w:lineRule="auto"/>
      </w:pPr>
      <w:r>
        <w:t>HAIA-RECCLIN is, to the author’s knowledge, the first published operational governance architecture designed to sit between a quality management system (prEN 18286 or equivalent) and multi-AI platform workflows. Individual components of this architecture exist independently in the literature: audit trails, human oversight mechanisms, compliance mapping, multi-model orchestration, and automation bias detection each appear in isolation or partial combination. The contribution is the integration layer that connects QMS requirements to operational AI workflows through a single coherent evidence-producing architecture, enforcing human oversight at architecturally defined checkpoints and generating the documentation required for regulatory self-assessment. This specification occupies the governance layer between the regulatory obligation and the operational AI systems. That layer, not any individual component, is the integration gap this architecture addresses.</w:t>
      </w:r>
    </w:p>
    <w:p w:rsidR="003472A0" w:rsidRDefault="00CC3482">
      <w:pPr>
        <w:spacing w:before="400"/>
        <w:jc w:val="center"/>
      </w:pPr>
      <w:r>
        <w:rPr>
          <w:b/>
          <w:bCs/>
          <w:color w:val="1B3A5C"/>
        </w:rPr>
        <w:t>End of Specification</w:t>
      </w:r>
    </w:p>
    <w:p w:rsidR="003472A0" w:rsidRDefault="00CC3482">
      <w:pPr>
        <w:jc w:val="center"/>
      </w:pPr>
      <w:r>
        <w:rPr>
          <w:i/>
          <w:iCs/>
          <w:color w:val="888888"/>
          <w:sz w:val="20"/>
          <w:szCs w:val="20"/>
        </w:rPr>
        <w:t>Version 2.2-EU  |  February 4, 2026  |  Basil Puglisi  |  basilpuglisi.com</w:t>
      </w:r>
    </w:p>
    <w:sectPr w:rsidR="003472A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C3482" w:rsidRDefault="00CC3482" w:rsidP="00055326">
      <w:r>
        <w:separator/>
      </w:r>
    </w:p>
  </w:endnote>
  <w:endnote w:type="continuationSeparator" w:id="0">
    <w:p w:rsidR="00CC3482" w:rsidRDefault="00CC3482" w:rsidP="000553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C3482" w:rsidRDefault="00CC3482" w:rsidP="00055326">
      <w:r>
        <w:separator/>
      </w:r>
    </w:p>
  </w:footnote>
  <w:footnote w:type="continuationSeparator" w:id="0">
    <w:p w:rsidR="00CC3482" w:rsidRDefault="00CC3482" w:rsidP="0005532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326" w:rsidRPr="00055326" w:rsidRDefault="00055326" w:rsidP="00055326">
    <w:pPr>
      <w:pStyle w:val="Header"/>
      <w:jc w:val="center"/>
      <w:rPr>
        <w:sz w:val="20"/>
        <w:szCs w:val="20"/>
      </w:rPr>
    </w:pPr>
    <w:r>
      <w:rPr>
        <w:sz w:val="20"/>
        <w:szCs w:val="20"/>
      </w:rPr>
      <w:t xml:space="preserve">HAIA-RECCLIN </w:t>
    </w:r>
    <w:r w:rsidRPr="00055326">
      <w:rPr>
        <w:sz w:val="20"/>
        <w:szCs w:val="20"/>
      </w:rPr>
      <w:t>Governance Architecture Specification</w:t>
    </w:r>
    <w:r>
      <w:rPr>
        <w:sz w:val="20"/>
        <w:szCs w:val="20"/>
      </w:rPr>
      <w:t xml:space="preserve"> </w:t>
    </w:r>
    <w:r w:rsidRPr="00055326">
      <w:rPr>
        <w:sz w:val="20"/>
        <w:szCs w:val="20"/>
      </w:rPr>
      <w:t xml:space="preserve">Autonomous Agent for Audit-Grade Multi-AI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9C70A0"/>
    <w:multiLevelType w:val="hybridMultilevel"/>
    <w:tmpl w:val="E0EE9CD2"/>
    <w:lvl w:ilvl="0" w:tplc="B52272A6">
      <w:start w:val="1"/>
      <w:numFmt w:val="bullet"/>
      <w:lvlText w:val="•"/>
      <w:lvlJc w:val="left"/>
      <w:pPr>
        <w:ind w:left="720" w:hanging="360"/>
      </w:pPr>
    </w:lvl>
    <w:lvl w:ilvl="1" w:tplc="EF506864">
      <w:numFmt w:val="decimal"/>
      <w:lvlText w:val=""/>
      <w:lvlJc w:val="left"/>
    </w:lvl>
    <w:lvl w:ilvl="2" w:tplc="1AEE9148">
      <w:numFmt w:val="decimal"/>
      <w:lvlText w:val=""/>
      <w:lvlJc w:val="left"/>
    </w:lvl>
    <w:lvl w:ilvl="3" w:tplc="FEAEE4E8">
      <w:numFmt w:val="decimal"/>
      <w:lvlText w:val=""/>
      <w:lvlJc w:val="left"/>
    </w:lvl>
    <w:lvl w:ilvl="4" w:tplc="23DAE9A4">
      <w:numFmt w:val="decimal"/>
      <w:lvlText w:val=""/>
      <w:lvlJc w:val="left"/>
    </w:lvl>
    <w:lvl w:ilvl="5" w:tplc="0004E50C">
      <w:numFmt w:val="decimal"/>
      <w:lvlText w:val=""/>
      <w:lvlJc w:val="left"/>
    </w:lvl>
    <w:lvl w:ilvl="6" w:tplc="851624AE">
      <w:numFmt w:val="decimal"/>
      <w:lvlText w:val=""/>
      <w:lvlJc w:val="left"/>
    </w:lvl>
    <w:lvl w:ilvl="7" w:tplc="9774ABB0">
      <w:numFmt w:val="decimal"/>
      <w:lvlText w:val=""/>
      <w:lvlJc w:val="left"/>
    </w:lvl>
    <w:lvl w:ilvl="8" w:tplc="0A4412BC">
      <w:numFmt w:val="decimal"/>
      <w:lvlText w:val=""/>
      <w:lvlJc w:val="left"/>
    </w:lvl>
  </w:abstractNum>
  <w:abstractNum w:abstractNumId="1">
    <w:nsid w:val="0A9B1FAD"/>
    <w:multiLevelType w:val="hybridMultilevel"/>
    <w:tmpl w:val="C7A20AA0"/>
    <w:lvl w:ilvl="0" w:tplc="F7BA3094">
      <w:start w:val="1"/>
      <w:numFmt w:val="bullet"/>
      <w:lvlText w:val="•"/>
      <w:lvlJc w:val="left"/>
      <w:pPr>
        <w:ind w:left="720" w:hanging="360"/>
      </w:pPr>
    </w:lvl>
    <w:lvl w:ilvl="1" w:tplc="1B0CFD0A">
      <w:numFmt w:val="decimal"/>
      <w:lvlText w:val=""/>
      <w:lvlJc w:val="left"/>
    </w:lvl>
    <w:lvl w:ilvl="2" w:tplc="F2487102">
      <w:numFmt w:val="decimal"/>
      <w:lvlText w:val=""/>
      <w:lvlJc w:val="left"/>
    </w:lvl>
    <w:lvl w:ilvl="3" w:tplc="B9184E0C">
      <w:numFmt w:val="decimal"/>
      <w:lvlText w:val=""/>
      <w:lvlJc w:val="left"/>
    </w:lvl>
    <w:lvl w:ilvl="4" w:tplc="A4144484">
      <w:numFmt w:val="decimal"/>
      <w:lvlText w:val=""/>
      <w:lvlJc w:val="left"/>
    </w:lvl>
    <w:lvl w:ilvl="5" w:tplc="D35616A6">
      <w:numFmt w:val="decimal"/>
      <w:lvlText w:val=""/>
      <w:lvlJc w:val="left"/>
    </w:lvl>
    <w:lvl w:ilvl="6" w:tplc="2250E1E8">
      <w:numFmt w:val="decimal"/>
      <w:lvlText w:val=""/>
      <w:lvlJc w:val="left"/>
    </w:lvl>
    <w:lvl w:ilvl="7" w:tplc="25744D8E">
      <w:numFmt w:val="decimal"/>
      <w:lvlText w:val=""/>
      <w:lvlJc w:val="left"/>
    </w:lvl>
    <w:lvl w:ilvl="8" w:tplc="D8C0EB0C">
      <w:numFmt w:val="decimal"/>
      <w:lvlText w:val=""/>
      <w:lvlJc w:val="left"/>
    </w:lvl>
  </w:abstractNum>
  <w:abstractNum w:abstractNumId="2">
    <w:nsid w:val="156D22F6"/>
    <w:multiLevelType w:val="hybridMultilevel"/>
    <w:tmpl w:val="F1BC80E6"/>
    <w:lvl w:ilvl="0" w:tplc="8368B8F4">
      <w:start w:val="1"/>
      <w:numFmt w:val="bullet"/>
      <w:lvlText w:val="•"/>
      <w:lvlJc w:val="left"/>
      <w:pPr>
        <w:ind w:left="720" w:hanging="360"/>
      </w:pPr>
    </w:lvl>
    <w:lvl w:ilvl="1" w:tplc="1D7A352E">
      <w:numFmt w:val="decimal"/>
      <w:lvlText w:val=""/>
      <w:lvlJc w:val="left"/>
    </w:lvl>
    <w:lvl w:ilvl="2" w:tplc="9462FB10">
      <w:numFmt w:val="decimal"/>
      <w:lvlText w:val=""/>
      <w:lvlJc w:val="left"/>
    </w:lvl>
    <w:lvl w:ilvl="3" w:tplc="58E0E810">
      <w:numFmt w:val="decimal"/>
      <w:lvlText w:val=""/>
      <w:lvlJc w:val="left"/>
    </w:lvl>
    <w:lvl w:ilvl="4" w:tplc="4E7C67B6">
      <w:numFmt w:val="decimal"/>
      <w:lvlText w:val=""/>
      <w:lvlJc w:val="left"/>
    </w:lvl>
    <w:lvl w:ilvl="5" w:tplc="1520C0AC">
      <w:numFmt w:val="decimal"/>
      <w:lvlText w:val=""/>
      <w:lvlJc w:val="left"/>
    </w:lvl>
    <w:lvl w:ilvl="6" w:tplc="38882F88">
      <w:numFmt w:val="decimal"/>
      <w:lvlText w:val=""/>
      <w:lvlJc w:val="left"/>
    </w:lvl>
    <w:lvl w:ilvl="7" w:tplc="DAFA514A">
      <w:numFmt w:val="decimal"/>
      <w:lvlText w:val=""/>
      <w:lvlJc w:val="left"/>
    </w:lvl>
    <w:lvl w:ilvl="8" w:tplc="0D9EA6F4">
      <w:numFmt w:val="decimal"/>
      <w:lvlText w:val=""/>
      <w:lvlJc w:val="left"/>
    </w:lvl>
  </w:abstractNum>
  <w:abstractNum w:abstractNumId="3">
    <w:nsid w:val="180366CD"/>
    <w:multiLevelType w:val="hybridMultilevel"/>
    <w:tmpl w:val="13D2E204"/>
    <w:lvl w:ilvl="0" w:tplc="6BDA1632">
      <w:start w:val="1"/>
      <w:numFmt w:val="bullet"/>
      <w:lvlText w:val="•"/>
      <w:lvlJc w:val="left"/>
      <w:pPr>
        <w:ind w:left="720" w:hanging="360"/>
      </w:pPr>
    </w:lvl>
    <w:lvl w:ilvl="1" w:tplc="BE3EFB9A">
      <w:numFmt w:val="decimal"/>
      <w:lvlText w:val=""/>
      <w:lvlJc w:val="left"/>
    </w:lvl>
    <w:lvl w:ilvl="2" w:tplc="D1B0F93E">
      <w:numFmt w:val="decimal"/>
      <w:lvlText w:val=""/>
      <w:lvlJc w:val="left"/>
    </w:lvl>
    <w:lvl w:ilvl="3" w:tplc="76F40FB6">
      <w:numFmt w:val="decimal"/>
      <w:lvlText w:val=""/>
      <w:lvlJc w:val="left"/>
    </w:lvl>
    <w:lvl w:ilvl="4" w:tplc="255A4F50">
      <w:numFmt w:val="decimal"/>
      <w:lvlText w:val=""/>
      <w:lvlJc w:val="left"/>
    </w:lvl>
    <w:lvl w:ilvl="5" w:tplc="000C27CC">
      <w:numFmt w:val="decimal"/>
      <w:lvlText w:val=""/>
      <w:lvlJc w:val="left"/>
    </w:lvl>
    <w:lvl w:ilvl="6" w:tplc="13DAE2E8">
      <w:numFmt w:val="decimal"/>
      <w:lvlText w:val=""/>
      <w:lvlJc w:val="left"/>
    </w:lvl>
    <w:lvl w:ilvl="7" w:tplc="863C30F2">
      <w:numFmt w:val="decimal"/>
      <w:lvlText w:val=""/>
      <w:lvlJc w:val="left"/>
    </w:lvl>
    <w:lvl w:ilvl="8" w:tplc="06B824B6">
      <w:numFmt w:val="decimal"/>
      <w:lvlText w:val=""/>
      <w:lvlJc w:val="left"/>
    </w:lvl>
  </w:abstractNum>
  <w:abstractNum w:abstractNumId="4">
    <w:nsid w:val="3E115E55"/>
    <w:multiLevelType w:val="hybridMultilevel"/>
    <w:tmpl w:val="4ED46E98"/>
    <w:lvl w:ilvl="0" w:tplc="49F800AE">
      <w:start w:val="1"/>
      <w:numFmt w:val="decimal"/>
      <w:lvlText w:val="%1."/>
      <w:lvlJc w:val="left"/>
      <w:pPr>
        <w:ind w:left="720" w:hanging="360"/>
      </w:pPr>
    </w:lvl>
    <w:lvl w:ilvl="1" w:tplc="9486816C">
      <w:numFmt w:val="decimal"/>
      <w:lvlText w:val=""/>
      <w:lvlJc w:val="left"/>
    </w:lvl>
    <w:lvl w:ilvl="2" w:tplc="72709F00">
      <w:numFmt w:val="decimal"/>
      <w:lvlText w:val=""/>
      <w:lvlJc w:val="left"/>
    </w:lvl>
    <w:lvl w:ilvl="3" w:tplc="413AA574">
      <w:numFmt w:val="decimal"/>
      <w:lvlText w:val=""/>
      <w:lvlJc w:val="left"/>
    </w:lvl>
    <w:lvl w:ilvl="4" w:tplc="C0E246FA">
      <w:numFmt w:val="decimal"/>
      <w:lvlText w:val=""/>
      <w:lvlJc w:val="left"/>
    </w:lvl>
    <w:lvl w:ilvl="5" w:tplc="40B012BA">
      <w:numFmt w:val="decimal"/>
      <w:lvlText w:val=""/>
      <w:lvlJc w:val="left"/>
    </w:lvl>
    <w:lvl w:ilvl="6" w:tplc="C8CE3260">
      <w:numFmt w:val="decimal"/>
      <w:lvlText w:val=""/>
      <w:lvlJc w:val="left"/>
    </w:lvl>
    <w:lvl w:ilvl="7" w:tplc="17CC5678">
      <w:numFmt w:val="decimal"/>
      <w:lvlText w:val=""/>
      <w:lvlJc w:val="left"/>
    </w:lvl>
    <w:lvl w:ilvl="8" w:tplc="9C14400A">
      <w:numFmt w:val="decimal"/>
      <w:lvlText w:val=""/>
      <w:lvlJc w:val="left"/>
    </w:lvl>
  </w:abstractNum>
  <w:abstractNum w:abstractNumId="5">
    <w:nsid w:val="4DEB03D8"/>
    <w:multiLevelType w:val="hybridMultilevel"/>
    <w:tmpl w:val="2C1CA484"/>
    <w:lvl w:ilvl="0" w:tplc="CFFC6EA2">
      <w:start w:val="1"/>
      <w:numFmt w:val="bullet"/>
      <w:lvlText w:val="•"/>
      <w:lvlJc w:val="left"/>
      <w:pPr>
        <w:ind w:left="720" w:hanging="360"/>
      </w:pPr>
    </w:lvl>
    <w:lvl w:ilvl="1" w:tplc="D5CEB9A6">
      <w:numFmt w:val="decimal"/>
      <w:lvlText w:val=""/>
      <w:lvlJc w:val="left"/>
    </w:lvl>
    <w:lvl w:ilvl="2" w:tplc="93F802FC">
      <w:numFmt w:val="decimal"/>
      <w:lvlText w:val=""/>
      <w:lvlJc w:val="left"/>
    </w:lvl>
    <w:lvl w:ilvl="3" w:tplc="EB221C80">
      <w:numFmt w:val="decimal"/>
      <w:lvlText w:val=""/>
      <w:lvlJc w:val="left"/>
    </w:lvl>
    <w:lvl w:ilvl="4" w:tplc="AB2437E0">
      <w:numFmt w:val="decimal"/>
      <w:lvlText w:val=""/>
      <w:lvlJc w:val="left"/>
    </w:lvl>
    <w:lvl w:ilvl="5" w:tplc="DBBAE844">
      <w:numFmt w:val="decimal"/>
      <w:lvlText w:val=""/>
      <w:lvlJc w:val="left"/>
    </w:lvl>
    <w:lvl w:ilvl="6" w:tplc="08FAB37C">
      <w:numFmt w:val="decimal"/>
      <w:lvlText w:val=""/>
      <w:lvlJc w:val="left"/>
    </w:lvl>
    <w:lvl w:ilvl="7" w:tplc="44468A32">
      <w:numFmt w:val="decimal"/>
      <w:lvlText w:val=""/>
      <w:lvlJc w:val="left"/>
    </w:lvl>
    <w:lvl w:ilvl="8" w:tplc="05B677BE">
      <w:numFmt w:val="decimal"/>
      <w:lvlText w:val=""/>
      <w:lvlJc w:val="left"/>
    </w:lvl>
  </w:abstractNum>
  <w:abstractNum w:abstractNumId="6">
    <w:nsid w:val="512B34E5"/>
    <w:multiLevelType w:val="hybridMultilevel"/>
    <w:tmpl w:val="D27C5BF6"/>
    <w:lvl w:ilvl="0" w:tplc="4ABA5A4C">
      <w:start w:val="1"/>
      <w:numFmt w:val="bullet"/>
      <w:lvlText w:val="●"/>
      <w:lvlJc w:val="left"/>
      <w:pPr>
        <w:ind w:left="720" w:hanging="360"/>
      </w:pPr>
    </w:lvl>
    <w:lvl w:ilvl="1" w:tplc="95C4EE76">
      <w:start w:val="1"/>
      <w:numFmt w:val="bullet"/>
      <w:lvlText w:val="○"/>
      <w:lvlJc w:val="left"/>
      <w:pPr>
        <w:ind w:left="1440" w:hanging="360"/>
      </w:pPr>
    </w:lvl>
    <w:lvl w:ilvl="2" w:tplc="A8D448B2">
      <w:start w:val="1"/>
      <w:numFmt w:val="bullet"/>
      <w:lvlText w:val="■"/>
      <w:lvlJc w:val="left"/>
      <w:pPr>
        <w:ind w:left="2160" w:hanging="360"/>
      </w:pPr>
    </w:lvl>
    <w:lvl w:ilvl="3" w:tplc="501C9240">
      <w:start w:val="1"/>
      <w:numFmt w:val="bullet"/>
      <w:lvlText w:val="●"/>
      <w:lvlJc w:val="left"/>
      <w:pPr>
        <w:ind w:left="2880" w:hanging="360"/>
      </w:pPr>
    </w:lvl>
    <w:lvl w:ilvl="4" w:tplc="0E842270">
      <w:start w:val="1"/>
      <w:numFmt w:val="bullet"/>
      <w:lvlText w:val="○"/>
      <w:lvlJc w:val="left"/>
      <w:pPr>
        <w:ind w:left="3600" w:hanging="360"/>
      </w:pPr>
    </w:lvl>
    <w:lvl w:ilvl="5" w:tplc="78583EF0">
      <w:start w:val="1"/>
      <w:numFmt w:val="bullet"/>
      <w:lvlText w:val="■"/>
      <w:lvlJc w:val="left"/>
      <w:pPr>
        <w:ind w:left="4320" w:hanging="360"/>
      </w:pPr>
    </w:lvl>
    <w:lvl w:ilvl="6" w:tplc="FEBC067E">
      <w:start w:val="1"/>
      <w:numFmt w:val="bullet"/>
      <w:lvlText w:val="●"/>
      <w:lvlJc w:val="left"/>
      <w:pPr>
        <w:ind w:left="5040" w:hanging="360"/>
      </w:pPr>
    </w:lvl>
    <w:lvl w:ilvl="7" w:tplc="67326A22">
      <w:start w:val="1"/>
      <w:numFmt w:val="bullet"/>
      <w:lvlText w:val="●"/>
      <w:lvlJc w:val="left"/>
      <w:pPr>
        <w:ind w:left="5760" w:hanging="360"/>
      </w:pPr>
    </w:lvl>
    <w:lvl w:ilvl="8" w:tplc="21AAE948">
      <w:start w:val="1"/>
      <w:numFmt w:val="bullet"/>
      <w:lvlText w:val="●"/>
      <w:lvlJc w:val="left"/>
      <w:pPr>
        <w:ind w:left="6480" w:hanging="360"/>
      </w:pPr>
    </w:lvl>
  </w:abstractNum>
  <w:abstractNum w:abstractNumId="7">
    <w:nsid w:val="5B6E5354"/>
    <w:multiLevelType w:val="hybridMultilevel"/>
    <w:tmpl w:val="0EB0BE30"/>
    <w:lvl w:ilvl="0" w:tplc="BCFC9926">
      <w:start w:val="1"/>
      <w:numFmt w:val="bullet"/>
      <w:lvlText w:val="•"/>
      <w:lvlJc w:val="left"/>
      <w:pPr>
        <w:ind w:left="720" w:hanging="360"/>
      </w:pPr>
    </w:lvl>
    <w:lvl w:ilvl="1" w:tplc="ED240C6A">
      <w:numFmt w:val="decimal"/>
      <w:lvlText w:val=""/>
      <w:lvlJc w:val="left"/>
    </w:lvl>
    <w:lvl w:ilvl="2" w:tplc="7C9AB92C">
      <w:numFmt w:val="decimal"/>
      <w:lvlText w:val=""/>
      <w:lvlJc w:val="left"/>
    </w:lvl>
    <w:lvl w:ilvl="3" w:tplc="7188F6F2">
      <w:numFmt w:val="decimal"/>
      <w:lvlText w:val=""/>
      <w:lvlJc w:val="left"/>
    </w:lvl>
    <w:lvl w:ilvl="4" w:tplc="66E6FAA2">
      <w:numFmt w:val="decimal"/>
      <w:lvlText w:val=""/>
      <w:lvlJc w:val="left"/>
    </w:lvl>
    <w:lvl w:ilvl="5" w:tplc="D2C09E0C">
      <w:numFmt w:val="decimal"/>
      <w:lvlText w:val=""/>
      <w:lvlJc w:val="left"/>
    </w:lvl>
    <w:lvl w:ilvl="6" w:tplc="D8AC00C8">
      <w:numFmt w:val="decimal"/>
      <w:lvlText w:val=""/>
      <w:lvlJc w:val="left"/>
    </w:lvl>
    <w:lvl w:ilvl="7" w:tplc="3774C786">
      <w:numFmt w:val="decimal"/>
      <w:lvlText w:val=""/>
      <w:lvlJc w:val="left"/>
    </w:lvl>
    <w:lvl w:ilvl="8" w:tplc="EE4C9186">
      <w:numFmt w:val="decimal"/>
      <w:lvlText w:val=""/>
      <w:lvlJc w:val="left"/>
    </w:lvl>
  </w:abstractNum>
  <w:num w:numId="1">
    <w:abstractNumId w:val="6"/>
    <w:lvlOverride w:ilvl="0">
      <w:startOverride w:val="1"/>
    </w:lvlOverride>
  </w:num>
  <w:num w:numId="2">
    <w:abstractNumId w:val="0"/>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1"/>
    <w:lvlOverride w:ilvl="0">
      <w:startOverride w:val="1"/>
    </w:lvlOverride>
  </w:num>
  <w:num w:numId="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3472A0"/>
    <w:rsid w:val="00055326"/>
    <w:rsid w:val="003472A0"/>
    <w:rsid w:val="0042093D"/>
    <w:rsid w:val="00CC3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333333"/>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200"/>
      <w:outlineLvl w:val="0"/>
    </w:pPr>
    <w:rPr>
      <w:b/>
      <w:bCs/>
      <w:color w:val="1B3A5C"/>
      <w:sz w:val="36"/>
      <w:szCs w:val="36"/>
    </w:rPr>
  </w:style>
  <w:style w:type="paragraph" w:styleId="Heading2">
    <w:name w:val="heading 2"/>
    <w:qFormat/>
    <w:pPr>
      <w:spacing w:before="280" w:after="160"/>
      <w:outlineLvl w:val="1"/>
    </w:pPr>
    <w:rPr>
      <w:b/>
      <w:bCs/>
      <w:color w:val="2C5F8A"/>
      <w:sz w:val="30"/>
      <w:szCs w:val="30"/>
    </w:rPr>
  </w:style>
  <w:style w:type="paragraph" w:styleId="Heading3">
    <w:name w:val="heading 3"/>
    <w:qFormat/>
    <w:pPr>
      <w:spacing w:before="200" w:after="120"/>
      <w:outlineLvl w:val="2"/>
    </w:pPr>
    <w:rPr>
      <w:b/>
      <w:bCs/>
      <w:color w:val="3D7BB5"/>
      <w:sz w:val="26"/>
      <w:szCs w:val="2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42093D"/>
    <w:pPr>
      <w:spacing w:after="100"/>
    </w:pPr>
  </w:style>
  <w:style w:type="paragraph" w:styleId="TOC2">
    <w:name w:val="toc 2"/>
    <w:basedOn w:val="Normal"/>
    <w:next w:val="Normal"/>
    <w:autoRedefine/>
    <w:uiPriority w:val="39"/>
    <w:unhideWhenUsed/>
    <w:rsid w:val="0042093D"/>
    <w:pPr>
      <w:spacing w:after="100"/>
      <w:ind w:left="240"/>
    </w:pPr>
  </w:style>
  <w:style w:type="paragraph" w:styleId="BalloonText">
    <w:name w:val="Balloon Text"/>
    <w:basedOn w:val="Normal"/>
    <w:link w:val="BalloonTextChar"/>
    <w:uiPriority w:val="99"/>
    <w:semiHidden/>
    <w:unhideWhenUsed/>
    <w:rsid w:val="0042093D"/>
    <w:rPr>
      <w:rFonts w:ascii="Tahoma" w:hAnsi="Tahoma" w:cs="Tahoma"/>
      <w:sz w:val="16"/>
      <w:szCs w:val="16"/>
    </w:rPr>
  </w:style>
  <w:style w:type="character" w:customStyle="1" w:styleId="BalloonTextChar">
    <w:name w:val="Balloon Text Char"/>
    <w:basedOn w:val="DefaultParagraphFont"/>
    <w:link w:val="BalloonText"/>
    <w:uiPriority w:val="99"/>
    <w:semiHidden/>
    <w:rsid w:val="0042093D"/>
    <w:rPr>
      <w:rFonts w:ascii="Tahoma" w:hAnsi="Tahoma" w:cs="Tahoma"/>
      <w:sz w:val="16"/>
      <w:szCs w:val="16"/>
    </w:rPr>
  </w:style>
  <w:style w:type="paragraph" w:styleId="Header">
    <w:name w:val="header"/>
    <w:basedOn w:val="Normal"/>
    <w:link w:val="HeaderChar"/>
    <w:uiPriority w:val="99"/>
    <w:unhideWhenUsed/>
    <w:rsid w:val="00055326"/>
    <w:pPr>
      <w:tabs>
        <w:tab w:val="center" w:pos="4680"/>
        <w:tab w:val="right" w:pos="9360"/>
      </w:tabs>
    </w:pPr>
  </w:style>
  <w:style w:type="character" w:customStyle="1" w:styleId="HeaderChar">
    <w:name w:val="Header Char"/>
    <w:basedOn w:val="DefaultParagraphFont"/>
    <w:link w:val="Header"/>
    <w:uiPriority w:val="99"/>
    <w:rsid w:val="00055326"/>
  </w:style>
  <w:style w:type="paragraph" w:styleId="Footer">
    <w:name w:val="footer"/>
    <w:basedOn w:val="Normal"/>
    <w:link w:val="FooterChar"/>
    <w:uiPriority w:val="99"/>
    <w:unhideWhenUsed/>
    <w:rsid w:val="00055326"/>
    <w:pPr>
      <w:tabs>
        <w:tab w:val="center" w:pos="4680"/>
        <w:tab w:val="right" w:pos="9360"/>
      </w:tabs>
    </w:pPr>
  </w:style>
  <w:style w:type="character" w:customStyle="1" w:styleId="FooterChar">
    <w:name w:val="Footer Char"/>
    <w:basedOn w:val="DefaultParagraphFont"/>
    <w:link w:val="Footer"/>
    <w:uiPriority w:val="99"/>
    <w:rsid w:val="0005532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333333"/>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200"/>
      <w:outlineLvl w:val="0"/>
    </w:pPr>
    <w:rPr>
      <w:b/>
      <w:bCs/>
      <w:color w:val="1B3A5C"/>
      <w:sz w:val="36"/>
      <w:szCs w:val="36"/>
    </w:rPr>
  </w:style>
  <w:style w:type="paragraph" w:styleId="Heading2">
    <w:name w:val="heading 2"/>
    <w:qFormat/>
    <w:pPr>
      <w:spacing w:before="280" w:after="160"/>
      <w:outlineLvl w:val="1"/>
    </w:pPr>
    <w:rPr>
      <w:b/>
      <w:bCs/>
      <w:color w:val="2C5F8A"/>
      <w:sz w:val="30"/>
      <w:szCs w:val="30"/>
    </w:rPr>
  </w:style>
  <w:style w:type="paragraph" w:styleId="Heading3">
    <w:name w:val="heading 3"/>
    <w:qFormat/>
    <w:pPr>
      <w:spacing w:before="200" w:after="120"/>
      <w:outlineLvl w:val="2"/>
    </w:pPr>
    <w:rPr>
      <w:b/>
      <w:bCs/>
      <w:color w:val="3D7BB5"/>
      <w:sz w:val="26"/>
      <w:szCs w:val="2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42093D"/>
    <w:pPr>
      <w:spacing w:after="100"/>
    </w:pPr>
  </w:style>
  <w:style w:type="paragraph" w:styleId="TOC2">
    <w:name w:val="toc 2"/>
    <w:basedOn w:val="Normal"/>
    <w:next w:val="Normal"/>
    <w:autoRedefine/>
    <w:uiPriority w:val="39"/>
    <w:unhideWhenUsed/>
    <w:rsid w:val="0042093D"/>
    <w:pPr>
      <w:spacing w:after="100"/>
      <w:ind w:left="240"/>
    </w:pPr>
  </w:style>
  <w:style w:type="paragraph" w:styleId="BalloonText">
    <w:name w:val="Balloon Text"/>
    <w:basedOn w:val="Normal"/>
    <w:link w:val="BalloonTextChar"/>
    <w:uiPriority w:val="99"/>
    <w:semiHidden/>
    <w:unhideWhenUsed/>
    <w:rsid w:val="0042093D"/>
    <w:rPr>
      <w:rFonts w:ascii="Tahoma" w:hAnsi="Tahoma" w:cs="Tahoma"/>
      <w:sz w:val="16"/>
      <w:szCs w:val="16"/>
    </w:rPr>
  </w:style>
  <w:style w:type="character" w:customStyle="1" w:styleId="BalloonTextChar">
    <w:name w:val="Balloon Text Char"/>
    <w:basedOn w:val="DefaultParagraphFont"/>
    <w:link w:val="BalloonText"/>
    <w:uiPriority w:val="99"/>
    <w:semiHidden/>
    <w:rsid w:val="0042093D"/>
    <w:rPr>
      <w:rFonts w:ascii="Tahoma" w:hAnsi="Tahoma" w:cs="Tahoma"/>
      <w:sz w:val="16"/>
      <w:szCs w:val="16"/>
    </w:rPr>
  </w:style>
  <w:style w:type="paragraph" w:styleId="Header">
    <w:name w:val="header"/>
    <w:basedOn w:val="Normal"/>
    <w:link w:val="HeaderChar"/>
    <w:uiPriority w:val="99"/>
    <w:unhideWhenUsed/>
    <w:rsid w:val="00055326"/>
    <w:pPr>
      <w:tabs>
        <w:tab w:val="center" w:pos="4680"/>
        <w:tab w:val="right" w:pos="9360"/>
      </w:tabs>
    </w:pPr>
  </w:style>
  <w:style w:type="character" w:customStyle="1" w:styleId="HeaderChar">
    <w:name w:val="Header Char"/>
    <w:basedOn w:val="DefaultParagraphFont"/>
    <w:link w:val="Header"/>
    <w:uiPriority w:val="99"/>
    <w:rsid w:val="00055326"/>
  </w:style>
  <w:style w:type="paragraph" w:styleId="Footer">
    <w:name w:val="footer"/>
    <w:basedOn w:val="Normal"/>
    <w:link w:val="FooterChar"/>
    <w:uiPriority w:val="99"/>
    <w:unhideWhenUsed/>
    <w:rsid w:val="00055326"/>
    <w:pPr>
      <w:tabs>
        <w:tab w:val="center" w:pos="4680"/>
        <w:tab w:val="right" w:pos="9360"/>
      </w:tabs>
    </w:pPr>
  </w:style>
  <w:style w:type="character" w:customStyle="1" w:styleId="FooterChar">
    <w:name w:val="Footer Char"/>
    <w:basedOn w:val="DefaultParagraphFont"/>
    <w:link w:val="Footer"/>
    <w:uiPriority w:val="99"/>
    <w:rsid w:val="000553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30</Pages>
  <Words>10679</Words>
  <Characters>60875</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71412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Puglisi</cp:lastModifiedBy>
  <cp:revision>2</cp:revision>
  <dcterms:created xsi:type="dcterms:W3CDTF">2026-02-03T06:21:00Z</dcterms:created>
  <dcterms:modified xsi:type="dcterms:W3CDTF">2026-02-03T06:21:00Z</dcterms:modified>
</cp:coreProperties>
</file>