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jc w:val="center"/>
      </w:pPr>
      <w:r>
        <w:rPr>
          <w:rFonts w:ascii="Arial" w:cs="Arial" w:eastAsia="Arial" w:hAnsi="Arial"/>
          <w:b/>
          <w:bCs/>
          <w:color w:val="1B3A5C"/>
          <w:sz w:val="60"/>
          <w:szCs w:val="60"/>
        </w:rPr>
        <w:t xml:space="preserve">GOPEL</w:t>
      </w:r>
    </w:p>
    <w:p>
      <w:pPr>
        <w:spacing w:after="60"/>
        <w:jc w:val="center"/>
      </w:pPr>
      <w:r>
        <w:rPr>
          <w:rFonts w:ascii="Arial" w:cs="Arial" w:eastAsia="Arial" w:hAnsi="Arial"/>
          <w:color w:val="2E75B6"/>
          <w:sz w:val="30"/>
          <w:szCs w:val="30"/>
        </w:rPr>
        <w:t xml:space="preserve">Checkpoint Information Chain Extension</w:t>
      </w:r>
    </w:p>
    <w:p>
      <w:pPr>
        <w:spacing w:after="500"/>
        <w:jc w:val="center"/>
      </w:pPr>
      <w:r>
        <w:rPr>
          <w:rFonts w:ascii="Arial" w:cs="Arial" w:eastAsia="Arial" w:hAnsi="Arial"/>
          <w:color w:val="666666"/>
          <w:sz w:val="22"/>
          <w:szCs w:val="22"/>
        </w:rPr>
        <w:t xml:space="preserve">CICE v1.2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Non-Cognitive Governance Extension</w:t>
            </w:r>
          </w:p>
        </w:tc>
      </w:tr>
      <w:tr>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sz w:val="20"/>
                <w:szCs w:val="20"/>
              </w:rPr>
              <w:t xml:space="preserve">Extension to</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GOPEL v1.5 · HAIA-CAIPR v1.1 · CBG v5.0</w:t>
            </w:r>
          </w:p>
        </w:tc>
      </w:tr>
      <w:tr>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sz w:val="20"/>
                <w:szCs w:val="20"/>
              </w:rPr>
              <w:t xml:space="preserve">Repository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github.com/basilpuglisi/HAIA · CC BY-NC 4.0</w:t>
            </w:r>
          </w:p>
        </w:tc>
      </w:tr>
      <w:tr>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sz w:val="20"/>
                <w:szCs w:val="20"/>
              </w:rPr>
              <w:t xml:space="preserve">Book</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Governing AI: When Capability Exceeds Control · ISBN 9798349677687</w:t>
            </w:r>
          </w:p>
        </w:tc>
      </w:tr>
      <w:tr>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sz w:val="20"/>
                <w:szCs w:val="20"/>
              </w:rPr>
              <w:t xml:space="preserve">Attribution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#AIassisted under HAIA-RECCLIN &amp; Checkpoint-Based Governance</w:t>
            </w:r>
          </w:p>
        </w:tc>
      </w:tr>
    </w:tbl>
    <w:p>
      <w:pPr>
        <w:spacing w:before="600"/>
        <w:jc w:val="center"/>
      </w:pPr>
      <w:r>
        <w:rPr>
          <w:rFonts w:ascii="Arial" w:cs="Arial" w:eastAsia="Arial" w:hAnsi="Arial"/>
          <w:b/>
          <w:bCs/>
          <w:sz w:val="22"/>
          <w:szCs w:val="22"/>
        </w:rPr>
        <w:t xml:space="preserve">Basil C. Puglisi, MPA</w:t>
      </w:r>
    </w:p>
    <w:p>
      <w:pPr>
        <w:jc w:val="center"/>
      </w:pPr>
      <w:r>
        <w:rPr>
          <w:rFonts w:ascii="Arial" w:cs="Arial" w:eastAsia="Arial" w:hAnsi="Arial"/>
          <w:i/>
          <w:iCs/>
          <w:color w:val="666666"/>
          <w:sz w:val="22"/>
          <w:szCs w:val="22"/>
        </w:rPr>
        <w:t xml:space="preserve">Digital Strategy Consultant &amp; Responsible AI² Governance</w:t>
      </w:r>
    </w:p>
    <w:p>
      <w:pPr>
        <w:jc w:val="center"/>
      </w:pPr>
      <w:r>
        <w:rPr>
          <w:rFonts w:ascii="Arial" w:cs="Arial" w:eastAsia="Arial" w:hAnsi="Arial"/>
          <w:i/>
          <w:iCs/>
          <w:color w:val="666666"/>
          <w:sz w:val="22"/>
          <w:szCs w:val="22"/>
        </w:rPr>
        <w:t xml:space="preserve">A Human &amp; AI Collaboration</w:t>
      </w:r>
    </w:p>
    <w:p>
      <w:pPr>
        <w:pStyle w:val="Heading1"/>
        <w:pageBreakBefore/>
        <w:spacing w:before="200" w:after="200"/>
      </w:pPr>
      <w:r>
        <w:rPr>
          <w:rFonts w:ascii="Arial" w:cs="Arial" w:eastAsia="Arial" w:hAnsi="Arial"/>
          <w:b/>
          <w:bCs/>
          <w:color w:val="1B3A5C"/>
          <w:sz w:val="28"/>
          <w:szCs w:val="28"/>
        </w:rPr>
        <w:t xml:space="preserve">How This Extension Came to Exist</w:t>
      </w:r>
    </w:p>
    <w:p>
      <w:pPr>
        <w:spacing w:after="180" w:line="288"/>
      </w:pPr>
      <w:r>
        <w:rPr>
          <w:rFonts w:ascii="Arial" w:cs="Arial" w:eastAsia="Arial" w:hAnsi="Arial"/>
          <w:sz w:val="22"/>
          <w:szCs w:val="22"/>
        </w:rPr>
        <w:t xml:space="preserve">This extension exists because someone outside the architecture asked the right questions. Krzysztof Olbiński, Founder of Homo Digital (AI Interaction Consulting, Structured Human-AI Oversight, EU AI Act), reviewed the HAIA repository independently and delivered a three-point structural critique covering the semantic governance gap at the human checkpoint, the Navigator as an ungoverned cognitive component, and a convergence proposal between his Tesseract Protocol and GOPEL’s transport layer.</w:t>
      </w:r>
    </w:p>
    <w:p>
      <w:pPr>
        <w:spacing w:after="180" w:line="288"/>
      </w:pPr>
      <w:r>
        <w:rPr>
          <w:rFonts w:ascii="Arial" w:cs="Arial" w:eastAsia="Arial" w:hAnsi="Arial"/>
          <w:sz w:val="22"/>
          <w:szCs w:val="22"/>
        </w:rPr>
        <w:t xml:space="preserve">The analysis that followed compared all three points against GOPEL v1.5, HAIA-CAIPR v1.1, and CBG v5.0. Two of the three concerns already had answers in the current published architecture, but three genuine gaps survived after correcting for version lag. Those gaps were serious enough to produce a new extension rather than incremental patches, and the resulting draft went through three-platform CAIPR review (Kimi, Grok, ChatGPT) with zero rejections, twelve refinements, and 3-of-3 convergence that the constitutional wall framing is the most significant contribution in the document.</w:t>
      </w:r>
    </w:p>
    <w:p>
      <w:pPr>
        <w:spacing w:after="180" w:line="288"/>
      </w:pPr>
      <w:r>
        <w:rPr>
          <w:rFonts w:ascii="Arial" w:cs="Arial" w:eastAsia="Arial" w:hAnsi="Arial"/>
          <w:sz w:val="22"/>
          <w:szCs w:val="22"/>
        </w:rPr>
        <w:t xml:space="preserve">The full chain from external critique through gap analysis through CAIPR-reviewed specification is exactly the open-review, field-strengthening posture the HAIA framework advocates. An outside practitioner identified what the architecture’s own authors had not specified, and the architecture is stronger for it.</w:t>
      </w:r>
    </w:p>
    <w:p>
      <w:pPr>
        <w:pBdr>
          <w:bottom w:val="single" w:color="2E75B6" w:sz="4" w:space="1"/>
        </w:pBdr>
        <w:spacing w:before="240" w:after="240"/>
      </w:pPr>
    </w:p>
    <w:p>
      <w:pPr>
        <w:pStyle w:val="Heading1"/>
        <w:spacing w:before="400" w:after="200"/>
      </w:pPr>
      <w:r>
        <w:rPr>
          <w:rFonts w:ascii="Arial" w:cs="Arial" w:eastAsia="Arial" w:hAnsi="Arial"/>
          <w:b/>
          <w:bCs/>
          <w:color w:val="1B3A5C"/>
          <w:sz w:val="28"/>
          <w:szCs w:val="28"/>
        </w:rPr>
        <w:t xml:space="preserve">1. The Problem</w:t>
      </w:r>
    </w:p>
    <w:p>
      <w:pPr>
        <w:spacing w:after="180" w:line="288"/>
      </w:pPr>
      <w:r>
        <w:rPr>
          <w:rFonts w:ascii="Arial" w:cs="Arial" w:eastAsia="Arial" w:hAnsi="Arial"/>
          <w:sz w:val="22"/>
          <w:szCs w:val="22"/>
        </w:rPr>
        <w:t xml:space="preserve">GOPEL v1.5 specifies what the human sees at a checkpoint, when the human sees it, and how the record of that checkpoint is preserved. HAIA-CAIPR v1.1 specifies how the synthesizer is governed through Tier 2 classification, seven documented failure modes, dual-signed inclusion manifests, and post-project Navigator balance audits. Neither specification addresses the complete information chain from platform response to human decision. Three gaps sit in that chain.</w:t>
      </w:r>
    </w:p>
    <w:p>
      <w:pPr>
        <w:spacing w:after="180" w:line="288"/>
      </w:pPr>
      <w:r>
        <w:rPr>
          <w:rFonts w:ascii="Arial" w:cs="Arial" w:eastAsia="Arial" w:hAnsi="Arial"/>
          <w:b/>
          <w:bCs/>
          <w:sz w:val="22"/>
          <w:szCs w:val="22"/>
        </w:rPr>
        <w:t xml:space="preserve">Gap A. </w:t>
      </w:r>
      <w:r>
        <w:rPr>
          <w:rFonts w:ascii="Arial" w:cs="Arial" w:eastAsia="Arial" w:hAnsi="Arial"/>
          <w:sz w:val="22"/>
          <w:szCs w:val="22"/>
        </w:rPr>
        <w:t xml:space="preserve">No deterministic comparison exists between platform metadata and Navigator synthesis metadata. GOPEL logs every platform response with RECCLIN structured fields including confidence, sources, conflicts, and convergence signals. The Navigator produces a synthesis. Both exist in the audit trail, but no function compares them before the human reviews the synthesis. If five platform responses carry confidence scores below 60% and the Navigator presents a finding as high-confidence, that discrepancy is detectable through arithmetic alone. The comparison function does not exist in any published specification.</w:t>
      </w:r>
    </w:p>
    <w:p>
      <w:pPr>
        <w:spacing w:after="180" w:line="288"/>
      </w:pPr>
      <w:r>
        <w:rPr>
          <w:rFonts w:ascii="Arial" w:cs="Arial" w:eastAsia="Arial" w:hAnsi="Arial"/>
          <w:b/>
          <w:bCs/>
          <w:sz w:val="22"/>
          <w:szCs w:val="22"/>
        </w:rPr>
        <w:t xml:space="preserve">Gap B. </w:t>
      </w:r>
      <w:r>
        <w:rPr>
          <w:rFonts w:ascii="Arial" w:cs="Arial" w:eastAsia="Arial" w:hAnsi="Arial"/>
          <w:sz w:val="22"/>
          <w:szCs w:val="22"/>
        </w:rPr>
        <w:t xml:space="preserve">Navigator plurality has no specification. GOPEL Proof of Concept v3.1 names it as the most significant Tier 3 development target, but the specification for how Navigator plurality operates, how cross-validation works, and how results integrate with the checkpoint governance package does not exist.</w:t>
      </w:r>
    </w:p>
    <w:p>
      <w:pPr>
        <w:spacing w:after="180" w:line="288"/>
      </w:pPr>
      <w:r>
        <w:rPr>
          <w:rFonts w:ascii="Arial" w:cs="Arial" w:eastAsia="Arial" w:hAnsi="Arial"/>
          <w:b/>
          <w:bCs/>
          <w:sz w:val="22"/>
          <w:szCs w:val="22"/>
        </w:rPr>
        <w:t xml:space="preserve">Gap C. </w:t>
      </w:r>
      <w:r>
        <w:rPr>
          <w:rFonts w:ascii="Arial" w:cs="Arial" w:eastAsia="Arial" w:hAnsi="Arial"/>
          <w:sz w:val="22"/>
          <w:szCs w:val="22"/>
        </w:rPr>
        <w:t xml:space="preserve">No specification exists for checkpoint cognitive load management at production scale. In high-volume Model 1 production, the governance package arriving at the single checkpoint can contain dozens of platform responses across multiple iterations. Nothing in the architecture specifies how the human triages that volume without degrading to approval-by-default.</w:t>
      </w:r>
    </w:p>
    <w:p>
      <w:pPr>
        <w:spacing w:after="180" w:line="288"/>
      </w:pPr>
      <w:r>
        <w:rPr>
          <w:rFonts w:ascii="Arial" w:cs="Arial" w:eastAsia="Arial" w:hAnsi="Arial"/>
          <w:sz w:val="22"/>
          <w:szCs w:val="22"/>
        </w:rPr>
        <w:t xml:space="preserve">The three gaps form a single problem chain. Production volume overwhelms the human checkpoint (Gap C), the Navigator compresses information before it reaches that checkpoint without real-time structural verification (Gap B), and no deterministic function flags when the compression distorts the underlying signals (Gap A). Together they describe the failure mode where governance infrastructure is present, the human is technically at the checkpoint, and decision quality degrades because the human’s information environment was shaped by an ungoverned compression step under volume pressure.</w:t>
      </w:r>
    </w:p>
    <w:p>
      <w:pPr>
        <w:pBdr>
          <w:bottom w:val="single" w:color="2E75B6" w:sz="4" w:space="1"/>
        </w:pBdr>
        <w:spacing w:before="240" w:after="240"/>
      </w:pPr>
    </w:p>
    <w:p>
      <w:pPr>
        <w:pStyle w:val="Heading1"/>
        <w:spacing w:before="400" w:after="200"/>
      </w:pPr>
      <w:r>
        <w:rPr>
          <w:rFonts w:ascii="Arial" w:cs="Arial" w:eastAsia="Arial" w:hAnsi="Arial"/>
          <w:b/>
          <w:bCs/>
          <w:color w:val="1B3A5C"/>
          <w:sz w:val="28"/>
          <w:szCs w:val="28"/>
        </w:rPr>
        <w:t xml:space="preserve">2. Design Constraints</w:t>
      </w:r>
    </w:p>
    <w:p>
      <w:pPr>
        <w:spacing w:after="180" w:line="288"/>
      </w:pPr>
      <w:r>
        <w:rPr>
          <w:rFonts w:ascii="Arial" w:cs="Arial" w:eastAsia="Arial" w:hAnsi="Arial"/>
          <w:sz w:val="22"/>
          <w:szCs w:val="22"/>
        </w:rPr>
        <w:t xml:space="preserve">Every specification in this extension satisfies four constraints without exception. The non-cognitive constraint is preserved: every comparison function operates on structured field values through arithmetic operations, and no function evaluates, interprets, or assigns meaning to content. The seven deterministic operations remain unchanged, with all new functions operating within the existing report and pause operations. Audit trail integrity is preserved through hash-chain logging of every new comparison, flag, and triage classification. CBG authority is unchanged, meaning no triage classification, anomaly flag, or Navigator plurality result can advance the workflow past a checkpoint without human disposition.</w:t>
      </w:r>
    </w:p>
    <w:p>
      <w:pPr>
        <w:pBdr>
          <w:bottom w:val="single" w:color="2E75B6" w:sz="4" w:space="1"/>
        </w:pBdr>
        <w:spacing w:before="240" w:after="240"/>
      </w:pPr>
    </w:p>
    <w:p>
      <w:pPr>
        <w:pStyle w:val="Heading1"/>
        <w:spacing w:before="400" w:after="200"/>
      </w:pPr>
      <w:r>
        <w:rPr>
          <w:rFonts w:ascii="Arial" w:cs="Arial" w:eastAsia="Arial" w:hAnsi="Arial"/>
          <w:b/>
          <w:bCs/>
          <w:color w:val="1B3A5C"/>
          <w:sz w:val="28"/>
          <w:szCs w:val="28"/>
        </w:rPr>
        <w:t xml:space="preserve">3. Deterministic Metadata Comparison</w:t>
      </w:r>
    </w:p>
    <w:p>
      <w:pPr>
        <w:spacing w:after="180" w:line="288"/>
      </w:pPr>
      <w:r>
        <w:rPr>
          <w:rFonts w:ascii="Arial" w:cs="Arial" w:eastAsia="Arial" w:hAnsi="Arial"/>
          <w:sz w:val="22"/>
          <w:szCs w:val="22"/>
        </w:rPr>
        <w:t xml:space="preserve">DMC produces a pre-checkpoint anomaly summary by comparing structured field values across Response Records and the corresponding Navigation Record. The summary tells the human where the Navigator’s synthesis diverges from the arithmetic profile of the underlying platform outputs.</w:t>
      </w:r>
    </w:p>
    <w:p>
      <w:pPr>
        <w:pStyle w:val="Heading2"/>
        <w:spacing w:before="300" w:after="160"/>
      </w:pPr>
      <w:r>
        <w:rPr>
          <w:rFonts w:ascii="Arial" w:cs="Arial" w:eastAsia="Arial" w:hAnsi="Arial"/>
          <w:b/>
          <w:bCs/>
          <w:color w:val="2E75B6"/>
          <w:sz w:val="24"/>
          <w:szCs w:val="24"/>
        </w:rPr>
        <w:t xml:space="preserve">Field Availability</w:t>
      </w:r>
    </w:p>
    <w:p>
      <w:pPr>
        <w:spacing w:after="180" w:line="288"/>
      </w:pPr>
      <w:r>
        <w:rPr>
          <w:rFonts w:ascii="Arial" w:cs="Arial" w:eastAsia="Arial" w:hAnsi="Arial"/>
          <w:sz w:val="22"/>
          <w:szCs w:val="22"/>
        </w:rPr>
        <w:t xml:space="preserve">DMC requires five mandatory fields to operate: confidence (integer), sources (list), conflicts (string), role (string), and task (string). When a platform response omits a mandatory field, DMC logs a parse failure and excludes that record from the affected comparison. The anomaly summary carries a DATA QUALITY indicator showing the percentage of expected fields populated across the platform pool. If data quality falls below the configured threshold, a DATA QUALITY WARNING flag appears alongside the standard classification. Below the minimum operational threshold of 70% (adjustable upward, never below 50%), DMC produces a DEGRADED indicator and the checkpoint defaults to full AIG review regardless of any Delegation Record.</w:t>
      </w:r>
    </w:p>
    <w:p>
      <w:pPr>
        <w:pStyle w:val="Heading2"/>
        <w:spacing w:before="300" w:after="160"/>
      </w:pPr>
      <w:r>
        <w:rPr>
          <w:rFonts w:ascii="Arial" w:cs="Arial" w:eastAsia="Arial" w:hAnsi="Arial"/>
          <w:b/>
          <w:bCs/>
          <w:color w:val="2E75B6"/>
          <w:sz w:val="24"/>
          <w:szCs w:val="24"/>
        </w:rPr>
        <w:t xml:space="preserve">Comparison Functions</w:t>
      </w:r>
    </w:p>
    <w:p>
      <w:pPr>
        <w:spacing w:after="180" w:line="288"/>
      </w:pPr>
      <w:r>
        <w:rPr>
          <w:rFonts w:ascii="Arial" w:cs="Arial" w:eastAsia="Arial" w:hAnsi="Arial"/>
          <w:b/>
          <w:bCs/>
          <w:sz w:val="22"/>
          <w:szCs w:val="22"/>
        </w:rPr>
        <w:t xml:space="preserve">Confidence divergence </w:t>
      </w:r>
      <w:r>
        <w:rPr>
          <w:rFonts w:ascii="Arial" w:cs="Arial" w:eastAsia="Arial" w:hAnsi="Arial"/>
          <w:sz w:val="22"/>
          <w:szCs w:val="22"/>
        </w:rPr>
        <w:t xml:space="preserve">compares the mean platform confidence score against the Navigation Record’s confidence characterization and flags when the synthesis presents high confidence that the underlying data does not support.</w:t>
      </w:r>
    </w:p>
    <w:p>
      <w:pPr>
        <w:spacing w:after="180" w:line="288"/>
      </w:pPr>
      <w:r>
        <w:rPr>
          <w:rFonts w:ascii="Arial" w:cs="Arial" w:eastAsia="Arial" w:hAnsi="Arial"/>
          <w:b/>
          <w:bCs/>
          <w:sz w:val="22"/>
          <w:szCs w:val="22"/>
        </w:rPr>
        <w:t xml:space="preserve">Convergence ratio verification </w:t>
      </w:r>
      <w:r>
        <w:rPr>
          <w:rFonts w:ascii="Arial" w:cs="Arial" w:eastAsia="Arial" w:hAnsi="Arial"/>
          <w:sz w:val="22"/>
          <w:szCs w:val="22"/>
        </w:rPr>
        <w:t xml:space="preserve">counts platforms that agree on a specific finding using composite key matching: RECCLIN role assignment (string match), source URL identity (string match), confidence score (integer within a configured band), and conflict presence flag (boolean match). No natural-language comparison or semantic equivalence testing is performed. The composite key boundary keeps convergence verification arithmetic.</w:t>
      </w:r>
    </w:p>
    <w:p>
      <w:pPr>
        <w:spacing w:after="180" w:line="288"/>
      </w:pPr>
      <w:r>
        <w:rPr>
          <w:rFonts w:ascii="Arial" w:cs="Arial" w:eastAsia="Arial" w:hAnsi="Arial"/>
          <w:b/>
          <w:bCs/>
          <w:sz w:val="22"/>
          <w:szCs w:val="22"/>
        </w:rPr>
        <w:t xml:space="preserve">Inclusion count verification </w:t>
      </w:r>
      <w:r>
        <w:rPr>
          <w:rFonts w:ascii="Arial" w:cs="Arial" w:eastAsia="Arial" w:hAnsi="Arial"/>
          <w:sz w:val="22"/>
          <w:szCs w:val="22"/>
        </w:rPr>
        <w:t xml:space="preserve">counts Response Records in the audit chain and compares against the platform count declared in the Navigation Record’s inclusion manifest.</w:t>
      </w:r>
    </w:p>
    <w:p>
      <w:pPr>
        <w:spacing w:after="180" w:line="288"/>
      </w:pPr>
      <w:r>
        <w:rPr>
          <w:rFonts w:ascii="Arial" w:cs="Arial" w:eastAsia="Arial" w:hAnsi="Arial"/>
          <w:b/>
          <w:bCs/>
          <w:sz w:val="22"/>
          <w:szCs w:val="22"/>
        </w:rPr>
        <w:t xml:space="preserve">Conflict suppression detection </w:t>
      </w:r>
      <w:r>
        <w:rPr>
          <w:rFonts w:ascii="Arial" w:cs="Arial" w:eastAsia="Arial" w:hAnsi="Arial"/>
          <w:sz w:val="22"/>
          <w:szCs w:val="22"/>
        </w:rPr>
        <w:t xml:space="preserve">counts Response Records that populate the conflicts field with non-empty content and compares against the Navigation Record’s conflict documentation.</w:t>
      </w:r>
    </w:p>
    <w:p>
      <w:pPr>
        <w:spacing w:after="180" w:line="288"/>
      </w:pPr>
      <w:r>
        <w:rPr>
          <w:rFonts w:ascii="Arial" w:cs="Arial" w:eastAsia="Arial" w:hAnsi="Arial"/>
          <w:b/>
          <w:bCs/>
          <w:sz w:val="22"/>
          <w:szCs w:val="22"/>
        </w:rPr>
        <w:t xml:space="preserve">Source count verification </w:t>
      </w:r>
      <w:r>
        <w:rPr>
          <w:rFonts w:ascii="Arial" w:cs="Arial" w:eastAsia="Arial" w:hAnsi="Arial"/>
          <w:sz w:val="22"/>
          <w:szCs w:val="22"/>
        </w:rPr>
        <w:t xml:space="preserve">counts unique sources across all Response Records and compares against the Navigation Record’s source count.</w:t>
      </w:r>
    </w:p>
    <w:p>
      <w:pPr>
        <w:pStyle w:val="Heading2"/>
        <w:spacing w:before="300" w:after="160"/>
      </w:pPr>
      <w:r>
        <w:rPr>
          <w:rFonts w:ascii="Arial" w:cs="Arial" w:eastAsia="Arial" w:hAnsi="Arial"/>
          <w:b/>
          <w:bCs/>
          <w:color w:val="2E75B6"/>
          <w:sz w:val="24"/>
          <w:szCs w:val="24"/>
        </w:rPr>
        <w:t xml:space="preserve">Anomaly Classification</w:t>
      </w:r>
    </w:p>
    <w:p>
      <w:pPr>
        <w:spacing w:after="180" w:line="288"/>
      </w:pPr>
      <w:r>
        <w:rPr>
          <w:rFonts w:ascii="Arial" w:cs="Arial" w:eastAsia="Arial" w:hAnsi="Arial"/>
          <w:sz w:val="22"/>
          <w:szCs w:val="22"/>
        </w:rPr>
        <w:t xml:space="preserve">The anomaly summary classifies each checkpoint as GREEN (zero flags), YELLOW (one or two flags), or RED (three or more flags). The classification is arithmetic: count the flags and apply the configured thresholds. GOPEL does not interpret what the flags mean. The human interprets them.</w:t>
      </w:r>
    </w:p>
    <w:p>
      <w:pPr>
        <w:pStyle w:val="Heading2"/>
        <w:spacing w:before="300" w:after="160"/>
      </w:pPr>
      <w:r>
        <w:rPr>
          <w:rFonts w:ascii="Arial" w:cs="Arial" w:eastAsia="Arial" w:hAnsi="Arial"/>
          <w:b/>
          <w:bCs/>
          <w:color w:val="2E75B6"/>
          <w:sz w:val="24"/>
          <w:szCs w:val="24"/>
        </w:rPr>
        <w:t xml:space="preserve">Statistical Process Control</w:t>
      </w:r>
    </w:p>
    <w:p>
      <w:pPr>
        <w:spacing w:after="180" w:line="288"/>
      </w:pPr>
      <w:r>
        <w:rPr>
          <w:rFonts w:ascii="Arial" w:cs="Arial" w:eastAsia="Arial" w:hAnsi="Arial"/>
          <w:sz w:val="22"/>
          <w:szCs w:val="22"/>
        </w:rPr>
        <w:t xml:space="preserve">SPC is the cross-cutting mechanism that watches the governance system itself for drift. It operates within the existing report operation, produces audit records with hash-chain integrity, and performs zero cognitive work. All SPC functions monitor rates across configurable rolling windows, compare rates against configured ceilings, and trigger automatic escalation when ceilings are exceeded.</w:t>
      </w:r>
    </w:p>
    <w:p>
      <w:pPr>
        <w:spacing w:after="180" w:line="288"/>
      </w:pPr>
      <w:r>
        <w:rPr>
          <w:rFonts w:ascii="Arial" w:cs="Arial" w:eastAsia="Arial" w:hAnsi="Arial"/>
          <w:sz w:val="22"/>
          <w:szCs w:val="22"/>
        </w:rPr>
        <w:t xml:space="preserve">SPC monitors four things. </w:t>
      </w:r>
      <w:r>
        <w:rPr>
          <w:rFonts w:ascii="Arial" w:cs="Arial" w:eastAsia="Arial" w:hAnsi="Arial"/>
          <w:b/>
          <w:bCs/>
          <w:sz w:val="22"/>
          <w:szCs w:val="22"/>
        </w:rPr>
        <w:t xml:space="preserve">Data quality drift </w:t>
      </w:r>
      <w:r>
        <w:rPr>
          <w:rFonts w:ascii="Arial" w:cs="Arial" w:eastAsia="Arial" w:hAnsi="Arial"/>
          <w:sz w:val="22"/>
          <w:szCs w:val="22"/>
        </w:rPr>
        <w:t xml:space="preserve">tracks field availability across transactions and suspends triage delegation when data quality degrades beyond the configured floor for too many consecutive windows. </w:t>
      </w:r>
      <w:r>
        <w:rPr>
          <w:rFonts w:ascii="Arial" w:cs="Arial" w:eastAsia="Arial" w:hAnsi="Arial"/>
          <w:b/>
          <w:bCs/>
          <w:sz w:val="22"/>
          <w:szCs w:val="22"/>
        </w:rPr>
        <w:t xml:space="preserve">Triage misclassification rate </w:t>
      </w:r>
      <w:r>
        <w:rPr>
          <w:rFonts w:ascii="Arial" w:cs="Arial" w:eastAsia="Arial" w:hAnsi="Arial"/>
          <w:sz w:val="22"/>
          <w:szCs w:val="22"/>
        </w:rPr>
        <w:t xml:space="preserve">tracks how often sampled GREEN checkpoints turn out to contain material warranting YELLOW or RED classification, and suspends the Delegation Record automatically when the rate exceeds the configured ceiling. </w:t>
      </w:r>
      <w:r>
        <w:rPr>
          <w:rFonts w:ascii="Arial" w:cs="Arial" w:eastAsia="Arial" w:hAnsi="Arial"/>
          <w:b/>
          <w:bCs/>
          <w:sz w:val="22"/>
          <w:szCs w:val="22"/>
        </w:rPr>
        <w:t xml:space="preserve">NPP divergence rate </w:t>
      </w:r>
      <w:r>
        <w:rPr>
          <w:rFonts w:ascii="Arial" w:cs="Arial" w:eastAsia="Arial" w:hAnsi="Arial"/>
          <w:sz w:val="22"/>
          <w:szCs w:val="22"/>
        </w:rPr>
        <w:t xml:space="preserve">tracks how often Navigator syntheses disagree on structured fields and forces raw response inspection when divergence exceeds the ceiling, overriding the triage classification entirely. </w:t>
      </w:r>
      <w:r>
        <w:rPr>
          <w:rFonts w:ascii="Arial" w:cs="Arial" w:eastAsia="Arial" w:hAnsi="Arial"/>
          <w:b/>
          <w:bCs/>
          <w:sz w:val="22"/>
          <w:szCs w:val="22"/>
        </w:rPr>
        <w:t xml:space="preserve">Timeout frequency </w:t>
      </w:r>
      <w:r>
        <w:rPr>
          <w:rFonts w:ascii="Arial" w:cs="Arial" w:eastAsia="Arial" w:hAnsi="Arial"/>
          <w:sz w:val="22"/>
          <w:szCs w:val="22"/>
        </w:rPr>
        <w:t xml:space="preserve">tracks how often a governor exceeds the checkpoint time threshold and flags the Delegation Record for reauthorization when repeated timeouts indicate the threshold is unrealistic for actual cognitive load.</w:t>
      </w:r>
    </w:p>
    <w:p>
      <w:pPr>
        <w:spacing w:after="180" w:line="288"/>
      </w:pPr>
      <w:r>
        <w:rPr>
          <w:rFonts w:ascii="Arial" w:cs="Arial" w:eastAsia="Arial" w:hAnsi="Arial"/>
          <w:b/>
          <w:bCs/>
          <w:sz w:val="22"/>
          <w:szCs w:val="22"/>
        </w:rPr>
        <w:t xml:space="preserve">Adaptive sampling </w:t>
      </w:r>
      <w:r>
        <w:rPr>
          <w:rFonts w:ascii="Arial" w:cs="Arial" w:eastAsia="Arial" w:hAnsi="Arial"/>
          <w:sz w:val="22"/>
          <w:szCs w:val="22"/>
        </w:rPr>
        <w:t xml:space="preserve">adjusts the GREEN checkpoint sampling rate proportionally as deviation rates rise, tightening scrutiny before a full suspension trigger fires. The governor sets the base rate, the maximum rate, and the ceiling. SPC computes the effective rate within those bounds.</w:t>
      </w:r>
    </w:p>
    <w:p>
      <w:pPr>
        <w:spacing w:after="180" w:line="288"/>
      </w:pPr>
      <w:r>
        <w:rPr>
          <w:rFonts w:ascii="Arial" w:cs="Arial" w:eastAsia="Arial" w:hAnsi="Arial"/>
          <w:sz w:val="22"/>
          <w:szCs w:val="22"/>
        </w:rPr>
        <w:t xml:space="preserve">Every SPC threshold must be justified, logged, reviewed at documented intervals, and periodically reauthorized. No threshold may be set indefinitely. This prevents the monitoring system from becoming ceremonial through loose configuration.</w:t>
      </w:r>
    </w:p>
    <w:p>
      <w:pPr>
        <w:pBdr>
          <w:bottom w:val="single" w:color="2E75B6" w:sz="4" w:space="1"/>
        </w:pBdr>
        <w:spacing w:before="240" w:after="240"/>
      </w:pPr>
    </w:p>
    <w:p>
      <w:pPr>
        <w:pStyle w:val="Heading1"/>
        <w:spacing w:before="400" w:after="200"/>
      </w:pPr>
      <w:r>
        <w:rPr>
          <w:rFonts w:ascii="Arial" w:cs="Arial" w:eastAsia="Arial" w:hAnsi="Arial"/>
          <w:b/>
          <w:bCs/>
          <w:color w:val="1B3A5C"/>
          <w:sz w:val="28"/>
          <w:szCs w:val="28"/>
        </w:rPr>
        <w:t xml:space="preserve">4. Navigator Plurality Protocol</w:t>
      </w:r>
    </w:p>
    <w:p>
      <w:pPr>
        <w:spacing w:after="180" w:line="288"/>
      </w:pPr>
      <w:r>
        <w:rPr>
          <w:rFonts w:ascii="Arial" w:cs="Arial" w:eastAsia="Arial" w:hAnsi="Arial"/>
          <w:sz w:val="22"/>
          <w:szCs w:val="22"/>
        </w:rPr>
        <w:t xml:space="preserve">NPP dispatches the Navigator synthesis task to multiple independent platforms simultaneously and cross-validates their syntheses using DMC comparison functions. The human receives multiple independent syntheses plus a cross-validation summary showing where the Navigators agree and where they diverge.</w:t>
      </w:r>
    </w:p>
    <w:p>
      <w:pPr>
        <w:spacing w:after="180" w:line="288"/>
      </w:pPr>
      <w:r>
        <w:rPr>
          <w:rFonts w:ascii="Arial" w:cs="Arial" w:eastAsia="Arial" w:hAnsi="Arial"/>
          <w:sz w:val="22"/>
          <w:szCs w:val="22"/>
        </w:rPr>
        <w:t xml:space="preserve">NPP applies to Model 1 and Model 2 operating configurations only. Model 3, where the human is the Navigator, requires no plurality mechanism. The Navigator pool must contain an odd number of platforms (3, 5, or 7) consistent with CAIPR’s consensus architecture, and platforms should be drawn from distinct architectural families to reduce correlated error from shared training data.</w:t>
      </w:r>
    </w:p>
    <w:p>
      <w:pPr>
        <w:spacing w:after="180" w:line="288"/>
      </w:pPr>
      <w:r>
        <w:rPr>
          <w:rFonts w:ascii="Arial" w:cs="Arial" w:eastAsia="Arial" w:hAnsi="Arial"/>
          <w:b/>
          <w:bCs/>
          <w:sz w:val="22"/>
          <w:szCs w:val="22"/>
        </w:rPr>
        <w:t xml:space="preserve">Activation control. </w:t>
      </w:r>
      <w:r>
        <w:rPr>
          <w:rFonts w:ascii="Arial" w:cs="Arial" w:eastAsia="Arial" w:hAnsi="Arial"/>
          <w:sz w:val="22"/>
          <w:szCs w:val="22"/>
        </w:rPr>
        <w:t xml:space="preserve">NPP does not activate on every transaction. The Request Record includes a configurable cost-threshold that determines activation based on transaction risk classification, domain sensitivity, or governance tier. Routine transactions proceed with a single Navigator while high-stakes or novel transactions activate the full pool. Every activation or bypass decision is logged.</w:t>
      </w:r>
    </w:p>
    <w:p>
      <w:pPr>
        <w:spacing w:after="180" w:line="288"/>
      </w:pPr>
      <w:r>
        <w:rPr>
          <w:rFonts w:ascii="Arial" w:cs="Arial" w:eastAsia="Arial" w:hAnsi="Arial"/>
          <w:b/>
          <w:bCs/>
          <w:sz w:val="22"/>
          <w:szCs w:val="22"/>
        </w:rPr>
        <w:t xml:space="preserve">Escalation. </w:t>
      </w:r>
      <w:r>
        <w:rPr>
          <w:rFonts w:ascii="Arial" w:cs="Arial" w:eastAsia="Arial" w:hAnsi="Arial"/>
          <w:sz w:val="22"/>
          <w:szCs w:val="22"/>
        </w:rPr>
        <w:t xml:space="preserve">When SPC detects that Navigator divergence exceeds the configured rate ceiling within a rolling window, the escalation overrides the triage classification and forces raw platform response inspection regardless of GREEN, YELLOW, or RED status. This bridge rule ensures persistent Navigator disagreement is treated as synthesis instability requiring direct human engagement with the underlying evidence.</w:t>
      </w:r>
    </w:p>
    <w:p>
      <w:pPr>
        <w:pBdr>
          <w:bottom w:val="single" w:color="2E75B6" w:sz="4" w:space="1"/>
        </w:pBdr>
        <w:spacing w:before="240" w:after="240"/>
      </w:pPr>
    </w:p>
    <w:p>
      <w:pPr>
        <w:pStyle w:val="Heading1"/>
        <w:spacing w:before="400" w:after="200"/>
      </w:pPr>
      <w:r>
        <w:rPr>
          <w:rFonts w:ascii="Arial" w:cs="Arial" w:eastAsia="Arial" w:hAnsi="Arial"/>
          <w:b/>
          <w:bCs/>
          <w:color w:val="1B3A5C"/>
          <w:sz w:val="28"/>
          <w:szCs w:val="28"/>
        </w:rPr>
        <w:t xml:space="preserve">5. Explicit Delegation Boundaries</w:t>
      </w:r>
    </w:p>
    <w:p>
      <w:pPr>
        <w:pStyle w:val="Heading2"/>
        <w:spacing w:before="300" w:after="160"/>
      </w:pPr>
      <w:r>
        <w:rPr>
          <w:rFonts w:ascii="Arial" w:cs="Arial" w:eastAsia="Arial" w:hAnsi="Arial"/>
          <w:b/>
          <w:bCs/>
          <w:color w:val="2E75B6"/>
          <w:sz w:val="24"/>
          <w:szCs w:val="24"/>
        </w:rPr>
        <w:t xml:space="preserve">The Constitutional Wall</w:t>
      </w:r>
    </w:p>
    <w:p>
      <w:pPr>
        <w:spacing w:after="180" w:line="288"/>
      </w:pPr>
      <w:r>
        <w:rPr>
          <w:rFonts w:ascii="Arial" w:cs="Arial" w:eastAsia="Arial" w:hAnsi="Arial"/>
          <w:sz w:val="22"/>
          <w:szCs w:val="22"/>
        </w:rPr>
        <w:t xml:space="preserve">Governance requires a named human with binding authority to engage substantively with the material presented at each checkpoint. Any reduction in that engagement converts the checkpoint from AI Governance to Responsible AI regardless of whether the human remains physically present. That is the constitutional wall.</w:t>
      </w:r>
    </w:p>
    <w:p>
      <w:pPr>
        <w:spacing w:after="180" w:line="288"/>
      </w:pPr>
      <w:r>
        <w:rPr>
          <w:rFonts w:ascii="Arial" w:cs="Arial" w:eastAsia="Arial" w:hAnsi="Arial"/>
          <w:sz w:val="22"/>
          <w:szCs w:val="22"/>
        </w:rPr>
        <w:t xml:space="preserve">At production scale, the human governor faces three options: review everything at every checkpoint (unsustainable under volume), delegate some review decisions to a deterministic triage layer (converting those delegated decisions from AIG to RAI), or accept slower throughput as the cost of maintaining full AIG authority. There is no fourth option. Full AIG review at every checkpoint remains formally possible, but only by accepting throughput reduction as an explicit design choice rather than treating it as an incidental cost.</w:t>
      </w:r>
    </w:p>
    <w:p>
      <w:pPr>
        <w:spacing w:after="180" w:line="288"/>
      </w:pPr>
      <w:r>
        <w:rPr>
          <w:rFonts w:ascii="Arial" w:cs="Arial" w:eastAsia="Arial" w:hAnsi="Arial"/>
          <w:sz w:val="22"/>
          <w:szCs w:val="22"/>
        </w:rPr>
        <w:t xml:space="preserve">This is not a flaw in the architecture. It is the price of governance. The question is not whether delegation occurs at production scale but whether delegation occurs explicitly with an auditable record or silently through checkpoint fatigue, where the audit trail cannot distinguish genuine review from approval-by-default.</w:t>
      </w:r>
    </w:p>
    <w:p>
      <w:pPr>
        <w:pStyle w:val="Heading2"/>
        <w:spacing w:before="300" w:after="160"/>
      </w:pPr>
      <w:r>
        <w:rPr>
          <w:rFonts w:ascii="Arial" w:cs="Arial" w:eastAsia="Arial" w:hAnsi="Arial"/>
          <w:b/>
          <w:bCs/>
          <w:color w:val="2E75B6"/>
          <w:sz w:val="24"/>
          <w:szCs w:val="24"/>
        </w:rPr>
        <w:t xml:space="preserve">The Silent Conversion Risk</w:t>
      </w:r>
    </w:p>
    <w:p>
      <w:pPr>
        <w:spacing w:after="180" w:line="288"/>
      </w:pPr>
      <w:r>
        <w:rPr>
          <w:rFonts w:ascii="Arial" w:cs="Arial" w:eastAsia="Arial" w:hAnsi="Arial"/>
          <w:sz w:val="22"/>
          <w:szCs w:val="22"/>
        </w:rPr>
        <w:t xml:space="preserve">The specific risk is silent conversion from AIG to RAI through checkpoint fatigue. The human is present, the audit record shows a disposition, but review depth has degraded to scanning or rubber-stamping under volume pressure. No explicit governance decision authorized the reduction. The organization believes it operates under AIG when the operational reality is RAI. This failure mode is worse than a conscious RAI decision, because a conscious decision is transparent, auditable, and accountable. Silent conversion is none of those things.</w:t>
      </w:r>
    </w:p>
    <w:p>
      <w:pPr>
        <w:pStyle w:val="Heading2"/>
        <w:spacing w:before="300" w:after="160"/>
      </w:pPr>
      <w:r>
        <w:rPr>
          <w:rFonts w:ascii="Arial" w:cs="Arial" w:eastAsia="Arial" w:hAnsi="Arial"/>
          <w:b/>
          <w:bCs/>
          <w:color w:val="2E75B6"/>
          <w:sz w:val="24"/>
          <w:szCs w:val="24"/>
        </w:rPr>
        <w:t xml:space="preserve">Delegation as a CBG Decision</w:t>
      </w:r>
    </w:p>
    <w:p>
      <w:pPr>
        <w:spacing w:after="180" w:line="288"/>
      </w:pPr>
      <w:r>
        <w:rPr>
          <w:rFonts w:ascii="Arial" w:cs="Arial" w:eastAsia="Arial" w:hAnsi="Arial"/>
          <w:sz w:val="22"/>
          <w:szCs w:val="22"/>
        </w:rPr>
        <w:t xml:space="preserve">Any reduction in checkpoint review depth at production scale must be an explicit CBG decision made by the human governor and documented in the audit trail. The Delegation Record requires a mandatory throughput-versus-risk rationale (no record is valid without it), specifies which checkpoint categories receive full AIG review versus delegated review, defines the triage criteria based on DMC anomaly classification, sets the review cadence and sampling rate for delegated categories, names the escalation triggers, and carries an expiry date. No indefinite delegations exist. At expiry, all checkpoints revert to full AIG review until the governor produces a new record.</w:t>
      </w:r>
    </w:p>
    <w:p>
      <w:pPr>
        <w:pStyle w:val="Heading2"/>
        <w:spacing w:before="300" w:after="160"/>
      </w:pPr>
      <w:r>
        <w:rPr>
          <w:rFonts w:ascii="Arial" w:cs="Arial" w:eastAsia="Arial" w:hAnsi="Arial"/>
          <w:b/>
          <w:bCs/>
          <w:color w:val="2E75B6"/>
          <w:sz w:val="24"/>
          <w:szCs w:val="24"/>
        </w:rPr>
        <w:t xml:space="preserve">Triage Classification</w:t>
      </w:r>
    </w:p>
    <w:p>
      <w:pPr>
        <w:spacing w:after="180" w:line="288"/>
      </w:pPr>
      <w:r>
        <w:rPr>
          <w:rFonts w:ascii="Arial" w:cs="Arial" w:eastAsia="Arial" w:hAnsi="Arial"/>
          <w:b/>
          <w:bCs/>
          <w:sz w:val="22"/>
          <w:szCs w:val="22"/>
        </w:rPr>
        <w:t xml:space="preserve">GREEN </w:t>
      </w:r>
      <w:r>
        <w:rPr>
          <w:rFonts w:ascii="Arial" w:cs="Arial" w:eastAsia="Arial" w:hAnsi="Arial"/>
          <w:sz w:val="22"/>
          <w:szCs w:val="22"/>
        </w:rPr>
        <w:t xml:space="preserve">(zero DMC flags) permits delegated review if authorized. </w:t>
      </w:r>
      <w:r>
        <w:rPr>
          <w:rFonts w:ascii="Arial" w:cs="Arial" w:eastAsia="Arial" w:hAnsi="Arial"/>
          <w:b/>
          <w:bCs/>
          <w:sz w:val="22"/>
          <w:szCs w:val="22"/>
        </w:rPr>
        <w:t xml:space="preserve">YELLOW </w:t>
      </w:r>
      <w:r>
        <w:rPr>
          <w:rFonts w:ascii="Arial" w:cs="Arial" w:eastAsia="Arial" w:hAnsi="Arial"/>
          <w:sz w:val="22"/>
          <w:szCs w:val="22"/>
        </w:rPr>
        <w:t xml:space="preserve">(one or two flags) requires full AIG review regardless of any Delegation Record. </w:t>
      </w:r>
      <w:r>
        <w:rPr>
          <w:rFonts w:ascii="Arial" w:cs="Arial" w:eastAsia="Arial" w:hAnsi="Arial"/>
          <w:b/>
          <w:bCs/>
          <w:sz w:val="22"/>
          <w:szCs w:val="22"/>
        </w:rPr>
        <w:t xml:space="preserve">RED </w:t>
      </w:r>
      <w:r>
        <w:rPr>
          <w:rFonts w:ascii="Arial" w:cs="Arial" w:eastAsia="Arial" w:hAnsi="Arial"/>
          <w:sz w:val="22"/>
          <w:szCs w:val="22"/>
        </w:rPr>
        <w:t xml:space="preserve">(three or more flags) requires full AIG review with mandatory raw platform response inspection, and the workflow does not advance until the human documents the disposition rationale.</w:t>
      </w:r>
    </w:p>
    <w:p>
      <w:pPr>
        <w:pBdr>
          <w:bottom w:val="single" w:color="2E75B6" w:sz="4" w:space="1"/>
        </w:pBdr>
        <w:spacing w:before="240" w:after="240"/>
      </w:pPr>
    </w:p>
    <w:p>
      <w:pPr>
        <w:pStyle w:val="Heading1"/>
        <w:spacing w:before="400" w:after="200"/>
      </w:pPr>
      <w:r>
        <w:rPr>
          <w:rFonts w:ascii="Arial" w:cs="Arial" w:eastAsia="Arial" w:hAnsi="Arial"/>
          <w:b/>
          <w:bCs/>
          <w:color w:val="1B3A5C"/>
          <w:sz w:val="28"/>
          <w:szCs w:val="28"/>
        </w:rPr>
        <w:t xml:space="preserve">6. Deployment Configurations</w:t>
      </w:r>
    </w:p>
    <w:p>
      <w:pPr>
        <w:spacing w:after="180" w:line="288"/>
      </w:pPr>
      <w:r>
        <w:rPr>
          <w:rFonts w:ascii="Arial" w:cs="Arial" w:eastAsia="Arial" w:hAnsi="Arial"/>
          <w:b/>
          <w:bCs/>
          <w:sz w:val="22"/>
          <w:szCs w:val="22"/>
        </w:rPr>
        <w:t xml:space="preserve">Minimum viable: DMC alone. </w:t>
      </w:r>
      <w:r>
        <w:rPr>
          <w:rFonts w:ascii="Arial" w:cs="Arial" w:eastAsia="Arial" w:hAnsi="Arial"/>
          <w:sz w:val="22"/>
          <w:szCs w:val="22"/>
        </w:rPr>
        <w:t xml:space="preserve">Every checkpoint is reviewed, and the anomaly summary assists human focus. DMC does not provide triage by itself; without EDB, the human reviews every checkpoint.</w:t>
      </w:r>
    </w:p>
    <w:p>
      <w:pPr>
        <w:spacing w:after="180" w:line="288"/>
      </w:pPr>
      <w:r>
        <w:rPr>
          <w:rFonts w:ascii="Arial" w:cs="Arial" w:eastAsia="Arial" w:hAnsi="Arial"/>
          <w:b/>
          <w:bCs/>
          <w:sz w:val="22"/>
          <w:szCs w:val="22"/>
        </w:rPr>
        <w:t xml:space="preserve">Recommended production: DMC plus EDB. </w:t>
      </w:r>
      <w:r>
        <w:rPr>
          <w:rFonts w:ascii="Arial" w:cs="Arial" w:eastAsia="Arial" w:hAnsi="Arial"/>
          <w:sz w:val="22"/>
          <w:szCs w:val="22"/>
        </w:rPr>
        <w:t xml:space="preserve">Triage-based delegation with SPC monitoring. The most practical configuration for organizations operating at volume.</w:t>
      </w:r>
    </w:p>
    <w:p>
      <w:pPr>
        <w:spacing w:after="180" w:line="288"/>
      </w:pPr>
      <w:r>
        <w:rPr>
          <w:rFonts w:ascii="Arial" w:cs="Arial" w:eastAsia="Arial" w:hAnsi="Arial"/>
          <w:b/>
          <w:bCs/>
          <w:sz w:val="22"/>
          <w:szCs w:val="22"/>
        </w:rPr>
        <w:t xml:space="preserve">Maximum governance: DMC plus NPP plus EDB. </w:t>
      </w:r>
      <w:r>
        <w:rPr>
          <w:rFonts w:ascii="Arial" w:cs="Arial" w:eastAsia="Arial" w:hAnsi="Arial"/>
          <w:sz w:val="22"/>
          <w:szCs w:val="22"/>
        </w:rPr>
        <w:t xml:space="preserve">Navigator plurality, triage delegation, and full SPC coverage. Reserved for the highest-stakes deployments where Navigator compression risk justifies the additional overhead.</w:t>
      </w:r>
    </w:p>
    <w:p>
      <w:pPr>
        <w:pBdr>
          <w:bottom w:val="single" w:color="2E75B6" w:sz="4" w:space="1"/>
        </w:pBdr>
        <w:spacing w:before="240" w:after="240"/>
      </w:pPr>
    </w:p>
    <w:p>
      <w:pPr>
        <w:pStyle w:val="Heading1"/>
        <w:spacing w:before="400" w:after="200"/>
      </w:pPr>
      <w:r>
        <w:rPr>
          <w:rFonts w:ascii="Arial" w:cs="Arial" w:eastAsia="Arial" w:hAnsi="Arial"/>
          <w:b/>
          <w:bCs/>
          <w:color w:val="1B3A5C"/>
          <w:sz w:val="28"/>
          <w:szCs w:val="28"/>
        </w:rPr>
        <w:t xml:space="preserve">7. What This Extension Does Not Do</w:t>
      </w:r>
    </w:p>
    <w:p>
      <w:pPr>
        <w:spacing w:after="180" w:line="288"/>
      </w:pPr>
      <w:r>
        <w:rPr>
          <w:rFonts w:ascii="Arial" w:cs="Arial" w:eastAsia="Arial" w:hAnsi="Arial"/>
          <w:sz w:val="22"/>
          <w:szCs w:val="22"/>
        </w:rPr>
        <w:t xml:space="preserve">This extension does not add semantic evaluation to GOPEL. A Navigator that contradicts the underlying evidence through sophisticated paraphrasing rather than through countable field discrepancies will not trigger DMC flags. That gap is irreducible within the non-cognitive constraint. Semantic distortion that preserves consistent structured field values while misrepresenting the substance of platform outputs remains outside the reach of any deterministic, non-cognitive governance layer.</w:t>
      </w:r>
    </w:p>
    <w:p>
      <w:pPr>
        <w:spacing w:after="180" w:line="288"/>
      </w:pPr>
      <w:r>
        <w:rPr>
          <w:rFonts w:ascii="Arial" w:cs="Arial" w:eastAsia="Arial" w:hAnsi="Arial"/>
          <w:sz w:val="22"/>
          <w:szCs w:val="22"/>
        </w:rPr>
        <w:t xml:space="preserve">This extension does not eliminate the constitutional wall. It makes the wall visible, forces the delegation decision into the open, and ensures the audit trail captures the distinction between full governance review and delegated review.</w:t>
      </w:r>
    </w:p>
    <w:p>
      <w:pPr>
        <w:spacing w:after="180" w:line="288"/>
      </w:pPr>
      <w:r>
        <w:rPr>
          <w:rFonts w:ascii="Arial" w:cs="Arial" w:eastAsia="Arial" w:hAnsi="Arial"/>
          <w:sz w:val="22"/>
          <w:szCs w:val="22"/>
        </w:rPr>
        <w:t xml:space="preserve">This extension does not specify code implementation. The specification defines governance architecture, comparison functions, record formats, and decision logic. Implementation against the GOPEL proof of concept codebase (v0.6.1) is a separate development target.</w:t>
      </w:r>
    </w:p>
    <w:p>
      <w:pPr>
        <w:pBdr>
          <w:bottom w:val="single" w:color="2E75B6" w:sz="4" w:space="1"/>
        </w:pBdr>
        <w:spacing w:before="240" w:after="240"/>
      </w:pPr>
    </w:p>
    <w:p>
      <w:pPr>
        <w:pStyle w:val="Heading1"/>
        <w:spacing w:before="400" w:after="200"/>
      </w:pPr>
      <w:r>
        <w:rPr>
          <w:rFonts w:ascii="Arial" w:cs="Arial" w:eastAsia="Arial" w:hAnsi="Arial"/>
          <w:b/>
          <w:bCs/>
          <w:color w:val="1B3A5C"/>
          <w:sz w:val="28"/>
          <w:szCs w:val="28"/>
        </w:rPr>
        <w:t xml:space="preserve">8. Convergence: Tesseract Protocol</w:t>
      </w:r>
    </w:p>
    <w:p>
      <w:pPr>
        <w:spacing w:after="180" w:line="288"/>
      </w:pPr>
      <w:r>
        <w:rPr>
          <w:rFonts w:ascii="Arial" w:cs="Arial" w:eastAsia="Arial" w:hAnsi="Arial"/>
          <w:sz w:val="22"/>
          <w:szCs w:val="22"/>
        </w:rPr>
        <w:t xml:space="preserve">Olbiński’s structural review included a convergence proposal between his Tesseract Protocol (homodigital.io) and GOPEL’s transport layer. The Tesseract Protocol produces structured governance signals at runtime: phase classification, constraint detection, proximity to irreversibility, irreversibility type classification, and confidence scoring. These are cognitive assessments produced upstream of GOPEL. A locked interface specification (Tesseract-QGED Interface Specification v1.1, March 2026, co-authored by Olbiński, Alaa Mahmoud Abdelbasit Atia, and reviewed by Nick Vejle) formalizes the signal schema and the boundary contract between the signal formation layer, an identity verification precondition (CARE), and the execution admissibility layer.</w:t>
      </w:r>
    </w:p>
    <w:p>
      <w:pPr>
        <w:spacing w:after="180" w:line="288"/>
      </w:pPr>
      <w:r>
        <w:rPr>
          <w:rFonts w:ascii="Arial" w:cs="Arial" w:eastAsia="Arial" w:hAnsi="Arial"/>
          <w:sz w:val="22"/>
          <w:szCs w:val="22"/>
        </w:rPr>
        <w:t xml:space="preserve">The interface is architecturally compatible. If Tesseract emits structured signal metadata alongside AI platform responses, GOPEL can transport that metadata as additional fields within the Response Record without evaluating its content. A boundary clarification in the locked spec strengthens this alignment: the signal layer describes ambiguity but does not resolve it. Resolution paths or suggestions within the signal payload constitute authority leakage. This means Tesseract signals arriving in the Response Record are strictly descriptive metadata that never carry recommendations capable of shaping the Navigator’s synthesis or the human’s checkpoint disposition, which aligns directly with GOPEL’s non-cognitive constraint.</w:t>
      </w:r>
    </w:p>
    <w:p>
      <w:pPr>
        <w:spacing w:after="180" w:line="288"/>
      </w:pPr>
      <w:r>
        <w:rPr>
          <w:rFonts w:ascii="Arial" w:cs="Arial" w:eastAsia="Arial" w:hAnsi="Arial"/>
          <w:sz w:val="22"/>
          <w:szCs w:val="22"/>
        </w:rPr>
        <w:t xml:space="preserve">The Tesseract-QGED v1.1 required signal fields are: phase (string: CA, CC, CD, CE), constraints (string array), threshold_state (string: reversible, approaching_irreversibility, irreversible, ambiguous_dual_irreversibility), irreversibility_type (string: none, data_disclosure, resource_commitment, relationship_state_change, scope_expansion, health_consequence), and confidence (float: 0.0 to 1.0). Three identity fields added in v1.1 for CARE verification: emitter_id, emitter_authority, and emission_conditions.</w:t>
      </w:r>
    </w:p>
    <w:p>
      <w:pPr>
        <w:spacing w:after="180" w:line="288"/>
      </w:pPr>
      <w:r>
        <w:rPr>
          <w:rFonts w:ascii="Arial" w:cs="Arial" w:eastAsia="Arial" w:hAnsi="Arial"/>
          <w:sz w:val="22"/>
          <w:szCs w:val="22"/>
        </w:rPr>
        <w:t xml:space="preserve">The preliminary DMC mapping: confidence maps to RECCLIN confidence through float-to-integer comparison; threshold_state maps to a new DMC comparison function through string matching against configured governance thresholds; constraints[] maps to conflict detection through array intersection counting; and the identity fields transport as validated context without DMC evaluation, consistent with the CARE layer’s separation of identity verification from content evaluation. The joint mapping is an active collaboration target with Olbiński confirming readiness to begin.</w:t>
      </w:r>
    </w:p>
    <w:p>
      <w:pPr>
        <w:pBdr>
          <w:bottom w:val="single" w:color="2E75B6" w:sz="4" w:space="1"/>
        </w:pBdr>
        <w:spacing w:before="240" w:after="240"/>
      </w:pPr>
    </w:p>
    <w:p>
      <w:pPr>
        <w:pStyle w:val="Heading1"/>
        <w:spacing w:before="400" w:after="200"/>
      </w:pPr>
      <w:r>
        <w:rPr>
          <w:rFonts w:ascii="Arial" w:cs="Arial" w:eastAsia="Arial" w:hAnsi="Arial"/>
          <w:b/>
          <w:bCs/>
          <w:color w:val="1B3A5C"/>
          <w:sz w:val="28"/>
          <w:szCs w:val="28"/>
        </w:rPr>
        <w:t xml:space="preserve">9. Decision Points</w:t>
      </w:r>
    </w:p>
    <w:p>
      <w:pPr>
        <w:spacing w:after="180" w:line="288"/>
      </w:pPr>
      <w:r>
        <w:rPr>
          <w:rFonts w:ascii="Arial" w:cs="Arial" w:eastAsia="Arial" w:hAnsi="Arial"/>
          <w:b/>
          <w:bCs/>
          <w:sz w:val="22"/>
          <w:szCs w:val="22"/>
        </w:rPr>
        <w:t xml:space="preserve">Immediate approval: </w:t>
      </w:r>
      <w:r>
        <w:rPr>
          <w:rFonts w:ascii="Arial" w:cs="Arial" w:eastAsia="Arial" w:hAnsi="Arial"/>
          <w:sz w:val="22"/>
          <w:szCs w:val="22"/>
        </w:rPr>
        <w:t xml:space="preserve">(1) Adopt CICE as a single specification covering three connected problems. (2) Adopt DMC including field availability requirements, composite key identification, and SPC monitoring. (3) Name the constitutional wall as an explicit principle in CBG v5.1. (4) Acknowledge the Olbiński collaboration as the catalyst. (5) Submit to CAIPR verification review before publication. (6) Classify code implementation as a separate development target.</w:t>
      </w:r>
    </w:p>
    <w:p>
      <w:pPr>
        <w:spacing w:after="180" w:line="288"/>
      </w:pPr>
      <w:r>
        <w:rPr>
          <w:rFonts w:ascii="Arial" w:cs="Arial" w:eastAsia="Arial" w:hAnsi="Arial"/>
          <w:b/>
          <w:bCs/>
          <w:sz w:val="22"/>
          <w:szCs w:val="22"/>
        </w:rPr>
        <w:t xml:space="preserve">Conditional approval: </w:t>
      </w:r>
      <w:r>
        <w:rPr>
          <w:rFonts w:ascii="Arial" w:cs="Arial" w:eastAsia="Arial" w:hAnsi="Arial"/>
          <w:sz w:val="22"/>
          <w:szCs w:val="22"/>
        </w:rPr>
        <w:t xml:space="preserve">(7) Adopt NPP as optional for Model 1 and Model 2, with escalation thresholds calibrated through operational experience. (8) Adopt EDB as a joint GOPEL/CBG extension, with SPC thresholds and adaptive sampling calibrated through operational experience.</w:t>
      </w:r>
    </w:p>
    <w:p>
      <w:pPr>
        <w:spacing w:after="180" w:line="288"/>
      </w:pPr>
      <w:r>
        <w:rPr>
          <w:rFonts w:ascii="Arial" w:cs="Arial" w:eastAsia="Arial" w:hAnsi="Arial"/>
          <w:b/>
          <w:bCs/>
          <w:sz w:val="22"/>
          <w:szCs w:val="22"/>
        </w:rPr>
        <w:t xml:space="preserve">Active collaboration target: </w:t>
      </w:r>
      <w:r>
        <w:rPr>
          <w:rFonts w:ascii="Arial" w:cs="Arial" w:eastAsia="Arial" w:hAnsi="Arial"/>
          <w:sz w:val="22"/>
          <w:szCs w:val="22"/>
        </w:rPr>
        <w:t xml:space="preserve">(9) Tesseract Protocol joint mapping of QGED signal fields to RECCLIN structured fields for DMC compatibility. Olbiński has confirmed readiness to begin. Co-authors Atia and Vejle welcome to review where mapping touches QGED admissibility or CARE verification boundaries.</w:t>
      </w:r>
    </w:p>
    <w:p>
      <w:pPr>
        <w:pBdr>
          <w:bottom w:val="single" w:color="2E75B6" w:sz="4" w:space="1"/>
        </w:pBdr>
        <w:spacing w:before="240" w:after="240"/>
      </w:pPr>
    </w:p>
    <w:p>
      <w:pPr>
        <w:pStyle w:val="Heading1"/>
        <w:spacing w:before="400" w:after="200"/>
      </w:pPr>
      <w:r>
        <w:rPr>
          <w:rFonts w:ascii="Arial" w:cs="Arial" w:eastAsia="Arial" w:hAnsi="Arial"/>
          <w:b/>
          <w:bCs/>
          <w:color w:val="1B3A5C"/>
          <w:sz w:val="28"/>
          <w:szCs w:val="28"/>
        </w:rPr>
        <w:t xml:space="preserve">10. CAIPR Review Record</w:t>
      </w:r>
    </w:p>
    <w:p>
      <w:pPr>
        <w:spacing w:after="180" w:line="288"/>
      </w:pPr>
      <w:r>
        <w:rPr>
          <w:rFonts w:ascii="Arial" w:cs="Arial" w:eastAsia="Arial" w:hAnsi="Arial"/>
          <w:sz w:val="22"/>
          <w:szCs w:val="22"/>
        </w:rPr>
        <w:t xml:space="preserve">The structural questions that produced this extension originated with Krzysztof Olbiński’s independent review of the HAIA repository in March 2026. His three-point critique surfaced gaps that the architecture’s own development process had not specified. The resulting CICE v1.0 draft was submitted to three-platform CAIPR review, which validated the architecture, identified twelve refinement items, and confirmed 3-of-3 that the constitutional wall framing is the extension’s most significant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Disposition</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Contributions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sz w:val="20"/>
                <w:szCs w:val="20"/>
              </w:rPr>
              <w:t xml:space="preserve">Kimi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sz w:val="20"/>
                <w:szCs w:val="20"/>
              </w:rPr>
              <w:t xml:space="preserve">Approve with amendments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sz w:val="20"/>
                <w:szCs w:val="20"/>
              </w:rPr>
              <w:t xml:space="preserve">DMC field availability, NPP correlated error risk, sampling drift detection, timeout handling, Tesseract deliverable specification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sz w:val="20"/>
                <w:szCs w:val="20"/>
              </w:rPr>
              <w:t xml:space="preserve">Grok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sz w:val="20"/>
                <w:szCs w:val="20"/>
              </w:rPr>
              <w:t xml:space="preserve">Approve all nine points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sz w:val="20"/>
                <w:szCs w:val="20"/>
              </w:rPr>
              <w:t xml:space="preserve">Delegation Record rationale field, NPP cost-threshold activation control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sz w:val="20"/>
                <w:szCs w:val="20"/>
              </w:rPr>
              <w:t xml:space="preserve">ChatGPT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sz w:val="20"/>
                <w:szCs w:val="20"/>
              </w:rPr>
              <w:t xml:space="preserve">Approve with revision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sz w:val="20"/>
                <w:szCs w:val="20"/>
              </w:rPr>
              <w:t xml:space="preserve">Claim identifier schema, threshold governance, NPP escalation bridge rule, staged approval recommendation</w:t>
            </w:r>
          </w:p>
        </w:tc>
      </w:tr>
    </w:tbl>
    <w:p>
      <w:pPr>
        <w:spacing w:after="180" w:line="288"/>
      </w:pPr>
      <w:r>
        <w:rPr>
          <w:rFonts w:ascii="Arial" w:cs="Arial" w:eastAsia="Arial" w:hAnsi="Arial"/>
          <w:sz w:val="22"/>
          <w:szCs w:val="22"/>
        </w:rPr>
        <w:t xml:space="preserve">All three platforms confirmed the architecture is sound. No platform rejected any decision point. Twelve revision items were consolidated through statistical process control as a cross-cutting mechanism, with the remaining items addressed through configuration additions and editorial refinements.</w:t>
      </w:r>
    </w:p>
    <w:p>
      <w:pPr>
        <w:pBdr>
          <w:bottom w:val="single" w:color="2E75B6" w:sz="4" w:space="1"/>
        </w:pBdr>
        <w:spacing w:before="240" w:after="240"/>
      </w:pPr>
    </w:p>
    <w:p>
      <w:pPr>
        <w:pStyle w:val="Heading1"/>
        <w:spacing w:before="400" w:after="200"/>
      </w:pPr>
      <w:r>
        <w:rPr>
          <w:rFonts w:ascii="Arial" w:cs="Arial" w:eastAsia="Arial" w:hAnsi="Arial"/>
          <w:b/>
          <w:bCs/>
          <w:color w:val="1B3A5C"/>
          <w:sz w:val="28"/>
          <w:szCs w:val="28"/>
        </w:rPr>
        <w:t xml:space="preserve">11. Related Documents</w:t>
      </w:r>
    </w:p>
    <w:p>
      <w:pPr>
        <w:spacing w:after="180" w:line="288"/>
      </w:pPr>
      <w:r>
        <w:rPr>
          <w:rFonts w:ascii="Arial" w:cs="Arial" w:eastAsia="Arial" w:hAnsi="Arial"/>
          <w:sz w:val="22"/>
          <w:szCs w:val="22"/>
        </w:rPr>
        <w:t xml:space="preserve">GOPEL Canonical Public v1.5 (March 2026); GOPEL Proof of Concept v3.1 (March 2026); GOPEL Confidential Processing Extension (CPE) v1.1 (March 2026); GOPEL Post-Quantum Cryptographic Agility Amendment v1.2 (March 2026); HAIA-CAIPR Specification v1.1 (March 2026); Checkpoint-Based Governance v5.0 (March 2026); HAIA-RECCLIN Multi-AI Framework, Third Edition (March 2026); Governing AI: When Capability Exceeds Control (Puglisi, 2025, ISBN 9798349677687).</w:t>
      </w:r>
    </w:p>
    <w:p>
      <w:pPr>
        <w:pBdr>
          <w:bottom w:val="single" w:color="2E75B6" w:sz="4" w:space="1"/>
        </w:pBdr>
        <w:spacing w:before="240" w:after="240"/>
      </w:pPr>
    </w:p>
    <w:p>
      <w:pPr>
        <w:spacing w:before="400"/>
        <w:jc w:val="center"/>
      </w:pPr>
      <w:r>
        <w:rPr>
          <w:rFonts w:ascii="Arial" w:cs="Arial" w:eastAsia="Arial" w:hAnsi="Arial"/>
          <w:b/>
          <w:bCs/>
          <w:sz w:val="22"/>
          <w:szCs w:val="22"/>
        </w:rPr>
        <w:t xml:space="preserve">Basil C. Puglisi, MPA</w:t>
      </w:r>
    </w:p>
    <w:p>
      <w:pPr>
        <w:jc w:val="center"/>
      </w:pPr>
      <w:r>
        <w:rPr>
          <w:rFonts w:ascii="Arial" w:cs="Arial" w:eastAsia="Arial" w:hAnsi="Arial"/>
          <w:sz w:val="22"/>
          <w:szCs w:val="22"/>
        </w:rPr>
        <w:t xml:space="preserve">Digital Strategy Consultant &amp; Responsible AI² Governance</w:t>
      </w:r>
    </w:p>
    <w:p>
      <w:pPr>
        <w:jc w:val="center"/>
      </w:pPr>
      <w:r>
        <w:rPr>
          <w:rFonts w:ascii="Arial" w:cs="Arial" w:eastAsia="Arial" w:hAnsi="Arial"/>
          <w:sz w:val="22"/>
          <w:szCs w:val="22"/>
        </w:rPr>
        <w:t xml:space="preserve">A Human &amp; AI Collaboration</w:t>
      </w:r>
    </w:p>
    <w:p>
      <w:pPr>
        <w:spacing w:before="120"/>
        <w:jc w:val="center"/>
      </w:pPr>
      <w:r>
        <w:rPr>
          <w:rFonts w:ascii="Arial" w:cs="Arial" w:eastAsia="Arial" w:hAnsi="Arial"/>
          <w:sz w:val="22"/>
          <w:szCs w:val="22"/>
        </w:rPr>
        <w:t xml:space="preserve">me@basilpuglisi.com</w:t>
      </w:r>
    </w:p>
    <w:p>
      <w:pPr>
        <w:spacing w:before="200"/>
        <w:jc w:val="center"/>
      </w:pPr>
      <w:r>
        <w:rPr>
          <w:rFonts w:ascii="Arial" w:cs="Arial" w:eastAsia="Arial" w:hAnsi="Arial"/>
          <w:i/>
          <w:iCs/>
          <w:color w:val="666666"/>
          <w:sz w:val="22"/>
          <w:szCs w:val="22"/>
        </w:rPr>
        <w:t xml:space="preserve">#AIassisted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Basil C. Puglisi, MPA  ·  basilpuglisi.com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GOPEL CICE v1.2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28"/>
      <w:szCs w:val="28"/>
    </w:rPr>
  </w:style>
  <w:style w:type="paragraph" w:styleId="Heading2">
    <w:name w:val="Heading 2"/>
    <w:basedOn w:val="Normal"/>
    <w:next w:val="Normal"/>
    <w:qFormat/>
    <w:pPr>
      <w:spacing w:before="300" w:after="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2026-03-23T12:35:10.295Z</dcterms:created>
  <dcterms:modified xsi:type="dcterms:W3CDTF">2026-03-23T12:35:10.296Z</dcterms:modified>
</cp:coreProperties>
</file>

<file path=docProps/custom.xml><?xml version="1.0" encoding="utf-8"?>
<Properties xmlns="http://schemas.openxmlformats.org/officeDocument/2006/custom-properties" xmlns:vt="http://schemas.openxmlformats.org/officeDocument/2006/docPropsVTypes"/>
</file>