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1045" w:rsidRDefault="00371045">
      <w:pPr>
        <w:spacing w:before="3600"/>
      </w:pPr>
    </w:p>
    <w:p w:rsidR="00371045" w:rsidRDefault="00F95A3B">
      <w:pPr>
        <w:spacing w:after="200"/>
        <w:jc w:val="center"/>
      </w:pPr>
      <w:r>
        <w:rPr>
          <w:b/>
          <w:bCs/>
          <w:sz w:val="36"/>
          <w:szCs w:val="36"/>
        </w:rPr>
        <w:t>HAIA-RECCLIN: A</w:t>
      </w:r>
      <w:r w:rsidR="004541DF">
        <w:rPr>
          <w:b/>
          <w:bCs/>
          <w:sz w:val="36"/>
          <w:szCs w:val="36"/>
        </w:rPr>
        <w:t>gent</w:t>
      </w:r>
      <w:r>
        <w:rPr>
          <w:b/>
          <w:bCs/>
          <w:sz w:val="36"/>
          <w:szCs w:val="36"/>
        </w:rPr>
        <w:t xml:space="preserve"> Governan</w:t>
      </w:r>
      <w:bookmarkStart w:id="0" w:name="_GoBack"/>
      <w:bookmarkEnd w:id="0"/>
      <w:r>
        <w:rPr>
          <w:b/>
          <w:bCs/>
          <w:sz w:val="36"/>
          <w:szCs w:val="36"/>
        </w:rPr>
        <w:t>ce Architecture for</w:t>
      </w:r>
    </w:p>
    <w:p w:rsidR="00371045" w:rsidRDefault="00F95A3B">
      <w:pPr>
        <w:spacing w:after="400"/>
        <w:jc w:val="center"/>
      </w:pPr>
      <w:r>
        <w:rPr>
          <w:b/>
          <w:bCs/>
          <w:sz w:val="36"/>
          <w:szCs w:val="36"/>
        </w:rPr>
        <w:t>Audit-Grade Multi-AI Collaboration</w:t>
      </w:r>
    </w:p>
    <w:p w:rsidR="00371045" w:rsidRDefault="00F95A3B">
      <w:pPr>
        <w:spacing w:after="100"/>
        <w:jc w:val="center"/>
      </w:pPr>
      <w:r>
        <w:rPr>
          <w:i/>
          <w:iCs/>
          <w:sz w:val="28"/>
          <w:szCs w:val="28"/>
        </w:rPr>
        <w:t>A Working Paper — Revised February 2026</w:t>
      </w:r>
    </w:p>
    <w:p w:rsidR="00371045" w:rsidRDefault="00371045">
      <w:pPr>
        <w:spacing w:before="800"/>
      </w:pPr>
    </w:p>
    <w:p w:rsidR="00371045" w:rsidRDefault="00F95A3B">
      <w:pPr>
        <w:spacing w:after="100"/>
        <w:jc w:val="center"/>
      </w:pPr>
      <w:r>
        <w:rPr>
          <w:sz w:val="26"/>
          <w:szCs w:val="26"/>
        </w:rPr>
        <w:t>Basil Puglisi, MPA</w:t>
      </w:r>
    </w:p>
    <w:p w:rsidR="00371045" w:rsidRDefault="00F95A3B">
      <w:pPr>
        <w:spacing w:after="100"/>
        <w:jc w:val="center"/>
      </w:pPr>
      <w:r>
        <w:rPr>
          <w:i/>
          <w:iCs/>
        </w:rPr>
        <w:t>Human-AI Collaboration Strategist</w:t>
      </w:r>
    </w:p>
    <w:p w:rsidR="00371045" w:rsidRDefault="00F95A3B">
      <w:pPr>
        <w:spacing w:after="100"/>
        <w:jc w:val="center"/>
      </w:pPr>
      <w:r>
        <w:t>basilpuglisi.com</w:t>
      </w:r>
    </w:p>
    <w:p w:rsidR="00371045" w:rsidRDefault="00371045">
      <w:pPr>
        <w:spacing w:before="600"/>
      </w:pPr>
    </w:p>
    <w:p w:rsidR="00371045" w:rsidRDefault="00F95A3B">
      <w:pPr>
        <w:spacing w:after="100"/>
        <w:jc w:val="center"/>
      </w:pPr>
      <w:r>
        <w:t>February 2026</w:t>
      </w:r>
    </w:p>
    <w:p w:rsidR="00371045" w:rsidRDefault="00371045">
      <w:pPr>
        <w:spacing w:before="1200"/>
      </w:pPr>
    </w:p>
    <w:p w:rsidR="00371045" w:rsidRDefault="00F95A3B">
      <w:pPr>
        <w:spacing w:after="100"/>
        <w:jc w:val="center"/>
      </w:pPr>
      <w:r>
        <w:rPr>
          <w:i/>
          <w:iCs/>
          <w:sz w:val="22"/>
          <w:szCs w:val="22"/>
        </w:rPr>
        <w:t>Author Contact: me@basilpuglisi.com</w:t>
      </w:r>
    </w:p>
    <w:p w:rsidR="00371045" w:rsidRDefault="00F95A3B">
      <w:pPr>
        <w:jc w:val="center"/>
      </w:pPr>
      <w:r>
        <w:rPr>
          <w:i/>
          <w:iCs/>
          <w:sz w:val="22"/>
          <w:szCs w:val="22"/>
        </w:rPr>
        <w:t>GitHub Repository: github.com/basilpuglisi/HAIA</w:t>
      </w:r>
    </w:p>
    <w:p w:rsidR="00371045" w:rsidRDefault="00371045">
      <w:pPr>
        <w:sectPr w:rsidR="00371045">
          <w:pgSz w:w="12240" w:h="15840"/>
          <w:pgMar w:top="1440" w:right="1440" w:bottom="1440" w:left="1440" w:header="708" w:footer="708" w:gutter="0"/>
          <w:cols w:space="720"/>
          <w:docGrid w:linePitch="360"/>
        </w:sectPr>
      </w:pPr>
    </w:p>
    <w:p w:rsidR="00371045" w:rsidRDefault="00F95A3B">
      <w:pPr>
        <w:spacing w:after="300"/>
        <w:jc w:val="center"/>
      </w:pPr>
      <w:r>
        <w:rPr>
          <w:b/>
          <w:bCs/>
        </w:rPr>
        <w:lastRenderedPageBreak/>
        <w:t>Abstract</w:t>
      </w:r>
    </w:p>
    <w:p w:rsidR="00371045" w:rsidRDefault="00F95A3B">
      <w:pPr>
        <w:spacing w:after="200" w:line="276" w:lineRule="auto"/>
        <w:jc w:val="both"/>
      </w:pPr>
      <w:r>
        <w:t>Organizations deploying multi-AI workflows face a structural governance gap: orchestration frameworks route tasks between AI platforms, but no published framework provides the accountability,</w:t>
      </w:r>
      <w:r>
        <w:t xml:space="preserve"> audit trail architecture, provider plurality, automation bias detection, and regulatory compliance mapping required for audit-grade operations. This paper presents HAIA-RECCLIN (Human AI Assistant with Researcher, Editor, Coder, Calculator, Liaison, Ideat</w:t>
      </w:r>
      <w:r>
        <w:t>or, and Navigator roles), a governance architecture specification for a non-cognitive autonomous agent that mediates between human operators and multiple independent AI platforms. The architecture enforces mandatory human checkpoints, append-only tamper-ev</w:t>
      </w:r>
      <w:r>
        <w:t>ident audit trails, cryptographic hash chaining, provider rotation protocols, and threshold-based automation bias detection. It performs zero cognitive work: it dispatches, collects, routes, logs, and pauses. Three operating models scale governance intensi</w:t>
      </w:r>
      <w:r>
        <w:t>ty from factory-speed single-endpoint approval through full human arbitration at every checkpoint to manual oversight with automated logging. The framework was developed through iterative refinement across ten independent AI platforms and validated through</w:t>
      </w:r>
      <w:r>
        <w:t xml:space="preserve"> multiple operational proof-of-concept deployments, including a 96-checkpoint manuscript production documented in </w:t>
      </w:r>
      <w:r>
        <w:rPr>
          <w:i/>
          <w:iCs/>
        </w:rPr>
        <w:t>Governing AI: When Capability Exceeds Control</w:t>
      </w:r>
      <w:r>
        <w:t xml:space="preserve"> (Puglisi, 2025), a five-platform thought leader evaluation convergence study, and adversarial st</w:t>
      </w:r>
      <w:r>
        <w:t>ress testing across nine platforms. The non-cognitive agent specified in this architecture is under preliminary development as HAIA-GOPEL (Governance Orchestrator Policy Enforcement Layer). To the best of the author’s knowledge, no published framework inte</w:t>
      </w:r>
      <w:r>
        <w:t>grates non-cognitive agent design, mandatory provider plurality, cryptographic audit trails, automation bias detection, and cross-framework regulatory compliance mapping into a single governance architecture. This integration gap, verified through independ</w:t>
      </w:r>
      <w:r>
        <w:t>ent search across four AI platforms, constitutes the primary contribution of this work.</w:t>
      </w:r>
    </w:p>
    <w:p w:rsidR="00371045" w:rsidRDefault="00F95A3B">
      <w:pPr>
        <w:spacing w:before="200" w:after="200"/>
      </w:pPr>
      <w:r>
        <w:rPr>
          <w:b/>
          <w:bCs/>
        </w:rPr>
        <w:t xml:space="preserve">Keywords: </w:t>
      </w:r>
      <w:r>
        <w:t xml:space="preserve">AI governance, human-AI collaboration, multi-AI orchestration, non-cognitive agent, HAIA-GOPEL, checkpoint-based governance, provider plurality, audit trail, </w:t>
      </w:r>
      <w:r>
        <w:t>automation bias, EU AI Act, ISO 42001, NIST AI RMF</w:t>
      </w:r>
    </w:p>
    <w:p w:rsidR="00371045" w:rsidRDefault="00F95A3B">
      <w:r>
        <w:br w:type="page"/>
      </w:r>
    </w:p>
    <w:p w:rsidR="00371045" w:rsidRDefault="00F95A3B">
      <w:pPr>
        <w:spacing w:after="300"/>
        <w:jc w:val="center"/>
      </w:pPr>
      <w:r>
        <w:rPr>
          <w:b/>
          <w:bCs/>
        </w:rPr>
        <w:lastRenderedPageBreak/>
        <w:t>Table of Contents</w:t>
      </w:r>
    </w:p>
    <w:sdt>
      <w:sdtPr>
        <w:alias w:val="Table of Contents"/>
        <w:id w:val="309450819"/>
      </w:sdtPr>
      <w:sdtEndPr/>
      <w:sdtContent>
        <w:p w:rsidR="004541DF" w:rsidRDefault="00F95A3B">
          <w:pPr>
            <w:pStyle w:val="TOC1"/>
            <w:tabs>
              <w:tab w:val="right" w:leader="dot" w:pos="9350"/>
            </w:tabs>
            <w:rPr>
              <w:noProof/>
            </w:rPr>
          </w:pPr>
          <w:r>
            <w:fldChar w:fldCharType="begin"/>
          </w:r>
          <w:r>
            <w:instrText>TOC \h \o "1-2"</w:instrText>
          </w:r>
          <w:r>
            <w:fldChar w:fldCharType="separate"/>
          </w:r>
          <w:hyperlink w:anchor="_Toc221056953" w:history="1">
            <w:r w:rsidR="004541DF" w:rsidRPr="009F2A6A">
              <w:rPr>
                <w:rStyle w:val="Hyperlink"/>
                <w:noProof/>
              </w:rPr>
              <w:t>1. Introduction</w:t>
            </w:r>
            <w:r w:rsidR="004541DF">
              <w:rPr>
                <w:noProof/>
              </w:rPr>
              <w:tab/>
            </w:r>
            <w:r w:rsidR="004541DF">
              <w:rPr>
                <w:noProof/>
              </w:rPr>
              <w:fldChar w:fldCharType="begin"/>
            </w:r>
            <w:r w:rsidR="004541DF">
              <w:rPr>
                <w:noProof/>
              </w:rPr>
              <w:instrText xml:space="preserve"> PAGEREF _Toc221056953 \h </w:instrText>
            </w:r>
            <w:r w:rsidR="004541DF">
              <w:rPr>
                <w:noProof/>
              </w:rPr>
            </w:r>
            <w:r w:rsidR="004541DF">
              <w:rPr>
                <w:noProof/>
              </w:rPr>
              <w:fldChar w:fldCharType="separate"/>
            </w:r>
            <w:r w:rsidR="004541DF">
              <w:rPr>
                <w:noProof/>
              </w:rPr>
              <w:t>5</w:t>
            </w:r>
            <w:r w:rsidR="004541DF">
              <w:rPr>
                <w:noProof/>
              </w:rPr>
              <w:fldChar w:fldCharType="end"/>
            </w:r>
          </w:hyperlink>
        </w:p>
        <w:p w:rsidR="004541DF" w:rsidRDefault="004541DF">
          <w:pPr>
            <w:pStyle w:val="TOC2"/>
            <w:tabs>
              <w:tab w:val="right" w:leader="dot" w:pos="9350"/>
            </w:tabs>
            <w:rPr>
              <w:noProof/>
            </w:rPr>
          </w:pPr>
          <w:hyperlink w:anchor="_Toc221056954" w:history="1">
            <w:r w:rsidRPr="009F2A6A">
              <w:rPr>
                <w:rStyle w:val="Hyperlink"/>
                <w:noProof/>
              </w:rPr>
              <w:t>1.1 Research Question</w:t>
            </w:r>
            <w:r>
              <w:rPr>
                <w:noProof/>
              </w:rPr>
              <w:tab/>
            </w:r>
            <w:r>
              <w:rPr>
                <w:noProof/>
              </w:rPr>
              <w:fldChar w:fldCharType="begin"/>
            </w:r>
            <w:r>
              <w:rPr>
                <w:noProof/>
              </w:rPr>
              <w:instrText xml:space="preserve"> PAGEREF _Toc221056954 \h </w:instrText>
            </w:r>
            <w:r>
              <w:rPr>
                <w:noProof/>
              </w:rPr>
            </w:r>
            <w:r>
              <w:rPr>
                <w:noProof/>
              </w:rPr>
              <w:fldChar w:fldCharType="separate"/>
            </w:r>
            <w:r>
              <w:rPr>
                <w:noProof/>
              </w:rPr>
              <w:t>5</w:t>
            </w:r>
            <w:r>
              <w:rPr>
                <w:noProof/>
              </w:rPr>
              <w:fldChar w:fldCharType="end"/>
            </w:r>
          </w:hyperlink>
        </w:p>
        <w:p w:rsidR="004541DF" w:rsidRDefault="004541DF">
          <w:pPr>
            <w:pStyle w:val="TOC2"/>
            <w:tabs>
              <w:tab w:val="right" w:leader="dot" w:pos="9350"/>
            </w:tabs>
            <w:rPr>
              <w:noProof/>
            </w:rPr>
          </w:pPr>
          <w:hyperlink w:anchor="_Toc221056955" w:history="1">
            <w:r w:rsidRPr="009F2A6A">
              <w:rPr>
                <w:rStyle w:val="Hyperlink"/>
                <w:noProof/>
              </w:rPr>
              <w:t>1.2 Contributions</w:t>
            </w:r>
            <w:r>
              <w:rPr>
                <w:noProof/>
              </w:rPr>
              <w:tab/>
            </w:r>
            <w:r>
              <w:rPr>
                <w:noProof/>
              </w:rPr>
              <w:fldChar w:fldCharType="begin"/>
            </w:r>
            <w:r>
              <w:rPr>
                <w:noProof/>
              </w:rPr>
              <w:instrText xml:space="preserve"> PAGEREF _Toc221056955 \h </w:instrText>
            </w:r>
            <w:r>
              <w:rPr>
                <w:noProof/>
              </w:rPr>
            </w:r>
            <w:r>
              <w:rPr>
                <w:noProof/>
              </w:rPr>
              <w:fldChar w:fldCharType="separate"/>
            </w:r>
            <w:r>
              <w:rPr>
                <w:noProof/>
              </w:rPr>
              <w:t>6</w:t>
            </w:r>
            <w:r>
              <w:rPr>
                <w:noProof/>
              </w:rPr>
              <w:fldChar w:fldCharType="end"/>
            </w:r>
          </w:hyperlink>
        </w:p>
        <w:p w:rsidR="004541DF" w:rsidRDefault="004541DF">
          <w:pPr>
            <w:pStyle w:val="TOC1"/>
            <w:tabs>
              <w:tab w:val="right" w:leader="dot" w:pos="9350"/>
            </w:tabs>
            <w:rPr>
              <w:noProof/>
            </w:rPr>
          </w:pPr>
          <w:hyperlink w:anchor="_Toc221056956" w:history="1">
            <w:r w:rsidRPr="009F2A6A">
              <w:rPr>
                <w:rStyle w:val="Hyperlink"/>
                <w:noProof/>
              </w:rPr>
              <w:t>2. Background and Definitions</w:t>
            </w:r>
            <w:r>
              <w:rPr>
                <w:noProof/>
              </w:rPr>
              <w:tab/>
            </w:r>
            <w:r>
              <w:rPr>
                <w:noProof/>
              </w:rPr>
              <w:fldChar w:fldCharType="begin"/>
            </w:r>
            <w:r>
              <w:rPr>
                <w:noProof/>
              </w:rPr>
              <w:instrText xml:space="preserve"> PAGEREF _Toc221056956 \h </w:instrText>
            </w:r>
            <w:r>
              <w:rPr>
                <w:noProof/>
              </w:rPr>
            </w:r>
            <w:r>
              <w:rPr>
                <w:noProof/>
              </w:rPr>
              <w:fldChar w:fldCharType="separate"/>
            </w:r>
            <w:r>
              <w:rPr>
                <w:noProof/>
              </w:rPr>
              <w:t>7</w:t>
            </w:r>
            <w:r>
              <w:rPr>
                <w:noProof/>
              </w:rPr>
              <w:fldChar w:fldCharType="end"/>
            </w:r>
          </w:hyperlink>
        </w:p>
        <w:p w:rsidR="004541DF" w:rsidRDefault="004541DF">
          <w:pPr>
            <w:pStyle w:val="TOC2"/>
            <w:tabs>
              <w:tab w:val="right" w:leader="dot" w:pos="9350"/>
            </w:tabs>
            <w:rPr>
              <w:noProof/>
            </w:rPr>
          </w:pPr>
          <w:hyperlink w:anchor="_Toc221056957" w:history="1">
            <w:r w:rsidRPr="009F2A6A">
              <w:rPr>
                <w:rStyle w:val="Hyperlink"/>
                <w:noProof/>
              </w:rPr>
              <w:t>2.1 Ethical AI</w:t>
            </w:r>
            <w:r>
              <w:rPr>
                <w:noProof/>
              </w:rPr>
              <w:tab/>
            </w:r>
            <w:r>
              <w:rPr>
                <w:noProof/>
              </w:rPr>
              <w:fldChar w:fldCharType="begin"/>
            </w:r>
            <w:r>
              <w:rPr>
                <w:noProof/>
              </w:rPr>
              <w:instrText xml:space="preserve"> PAGEREF _Toc221056957 \h </w:instrText>
            </w:r>
            <w:r>
              <w:rPr>
                <w:noProof/>
              </w:rPr>
            </w:r>
            <w:r>
              <w:rPr>
                <w:noProof/>
              </w:rPr>
              <w:fldChar w:fldCharType="separate"/>
            </w:r>
            <w:r>
              <w:rPr>
                <w:noProof/>
              </w:rPr>
              <w:t>7</w:t>
            </w:r>
            <w:r>
              <w:rPr>
                <w:noProof/>
              </w:rPr>
              <w:fldChar w:fldCharType="end"/>
            </w:r>
          </w:hyperlink>
        </w:p>
        <w:p w:rsidR="004541DF" w:rsidRDefault="004541DF">
          <w:pPr>
            <w:pStyle w:val="TOC2"/>
            <w:tabs>
              <w:tab w:val="right" w:leader="dot" w:pos="9350"/>
            </w:tabs>
            <w:rPr>
              <w:noProof/>
            </w:rPr>
          </w:pPr>
          <w:hyperlink w:anchor="_Toc221056958" w:history="1">
            <w:r w:rsidRPr="009F2A6A">
              <w:rPr>
                <w:rStyle w:val="Hyperlink"/>
                <w:noProof/>
              </w:rPr>
              <w:t>2.2 Responsible AI</w:t>
            </w:r>
            <w:r>
              <w:rPr>
                <w:noProof/>
              </w:rPr>
              <w:tab/>
            </w:r>
            <w:r>
              <w:rPr>
                <w:noProof/>
              </w:rPr>
              <w:fldChar w:fldCharType="begin"/>
            </w:r>
            <w:r>
              <w:rPr>
                <w:noProof/>
              </w:rPr>
              <w:instrText xml:space="preserve"> PAGEREF _Toc221056958 \h </w:instrText>
            </w:r>
            <w:r>
              <w:rPr>
                <w:noProof/>
              </w:rPr>
            </w:r>
            <w:r>
              <w:rPr>
                <w:noProof/>
              </w:rPr>
              <w:fldChar w:fldCharType="separate"/>
            </w:r>
            <w:r>
              <w:rPr>
                <w:noProof/>
              </w:rPr>
              <w:t>7</w:t>
            </w:r>
            <w:r>
              <w:rPr>
                <w:noProof/>
              </w:rPr>
              <w:fldChar w:fldCharType="end"/>
            </w:r>
          </w:hyperlink>
        </w:p>
        <w:p w:rsidR="004541DF" w:rsidRDefault="004541DF">
          <w:pPr>
            <w:pStyle w:val="TOC2"/>
            <w:tabs>
              <w:tab w:val="right" w:leader="dot" w:pos="9350"/>
            </w:tabs>
            <w:rPr>
              <w:noProof/>
            </w:rPr>
          </w:pPr>
          <w:hyperlink w:anchor="_Toc221056959" w:history="1">
            <w:r w:rsidRPr="009F2A6A">
              <w:rPr>
                <w:rStyle w:val="Hyperlink"/>
                <w:noProof/>
              </w:rPr>
              <w:t>2.3 AI Governance</w:t>
            </w:r>
            <w:r>
              <w:rPr>
                <w:noProof/>
              </w:rPr>
              <w:tab/>
            </w:r>
            <w:r>
              <w:rPr>
                <w:noProof/>
              </w:rPr>
              <w:fldChar w:fldCharType="begin"/>
            </w:r>
            <w:r>
              <w:rPr>
                <w:noProof/>
              </w:rPr>
              <w:instrText xml:space="preserve"> PAGEREF _Toc221056959 \h </w:instrText>
            </w:r>
            <w:r>
              <w:rPr>
                <w:noProof/>
              </w:rPr>
            </w:r>
            <w:r>
              <w:rPr>
                <w:noProof/>
              </w:rPr>
              <w:fldChar w:fldCharType="separate"/>
            </w:r>
            <w:r>
              <w:rPr>
                <w:noProof/>
              </w:rPr>
              <w:t>7</w:t>
            </w:r>
            <w:r>
              <w:rPr>
                <w:noProof/>
              </w:rPr>
              <w:fldChar w:fldCharType="end"/>
            </w:r>
          </w:hyperlink>
        </w:p>
        <w:p w:rsidR="004541DF" w:rsidRDefault="004541DF">
          <w:pPr>
            <w:pStyle w:val="TOC2"/>
            <w:tabs>
              <w:tab w:val="right" w:leader="dot" w:pos="9350"/>
            </w:tabs>
            <w:rPr>
              <w:noProof/>
            </w:rPr>
          </w:pPr>
          <w:hyperlink w:anchor="_Toc221056960" w:history="1">
            <w:r w:rsidRPr="009F2A6A">
              <w:rPr>
                <w:rStyle w:val="Hyperlink"/>
                <w:noProof/>
              </w:rPr>
              <w:t>2.4 Theoretical Foundations</w:t>
            </w:r>
            <w:r>
              <w:rPr>
                <w:noProof/>
              </w:rPr>
              <w:tab/>
            </w:r>
            <w:r>
              <w:rPr>
                <w:noProof/>
              </w:rPr>
              <w:fldChar w:fldCharType="begin"/>
            </w:r>
            <w:r>
              <w:rPr>
                <w:noProof/>
              </w:rPr>
              <w:instrText xml:space="preserve"> PAGEREF _Toc221056960 \h </w:instrText>
            </w:r>
            <w:r>
              <w:rPr>
                <w:noProof/>
              </w:rPr>
            </w:r>
            <w:r>
              <w:rPr>
                <w:noProof/>
              </w:rPr>
              <w:fldChar w:fldCharType="separate"/>
            </w:r>
            <w:r>
              <w:rPr>
                <w:noProof/>
              </w:rPr>
              <w:t>7</w:t>
            </w:r>
            <w:r>
              <w:rPr>
                <w:noProof/>
              </w:rPr>
              <w:fldChar w:fldCharType="end"/>
            </w:r>
          </w:hyperlink>
        </w:p>
        <w:p w:rsidR="004541DF" w:rsidRDefault="004541DF">
          <w:pPr>
            <w:pStyle w:val="TOC1"/>
            <w:tabs>
              <w:tab w:val="right" w:leader="dot" w:pos="9350"/>
            </w:tabs>
            <w:rPr>
              <w:noProof/>
            </w:rPr>
          </w:pPr>
          <w:hyperlink w:anchor="_Toc221056961" w:history="1">
            <w:r w:rsidRPr="009F2A6A">
              <w:rPr>
                <w:rStyle w:val="Hyperlink"/>
                <w:noProof/>
              </w:rPr>
              <w:t>3. Literature Review</w:t>
            </w:r>
            <w:r>
              <w:rPr>
                <w:noProof/>
              </w:rPr>
              <w:tab/>
            </w:r>
            <w:r>
              <w:rPr>
                <w:noProof/>
              </w:rPr>
              <w:fldChar w:fldCharType="begin"/>
            </w:r>
            <w:r>
              <w:rPr>
                <w:noProof/>
              </w:rPr>
              <w:instrText xml:space="preserve"> PAGEREF _Toc221056961 \h </w:instrText>
            </w:r>
            <w:r>
              <w:rPr>
                <w:noProof/>
              </w:rPr>
            </w:r>
            <w:r>
              <w:rPr>
                <w:noProof/>
              </w:rPr>
              <w:fldChar w:fldCharType="separate"/>
            </w:r>
            <w:r>
              <w:rPr>
                <w:noProof/>
              </w:rPr>
              <w:t>9</w:t>
            </w:r>
            <w:r>
              <w:rPr>
                <w:noProof/>
              </w:rPr>
              <w:fldChar w:fldCharType="end"/>
            </w:r>
          </w:hyperlink>
        </w:p>
        <w:p w:rsidR="004541DF" w:rsidRDefault="004541DF">
          <w:pPr>
            <w:pStyle w:val="TOC2"/>
            <w:tabs>
              <w:tab w:val="right" w:leader="dot" w:pos="9350"/>
            </w:tabs>
            <w:rPr>
              <w:noProof/>
            </w:rPr>
          </w:pPr>
          <w:hyperlink w:anchor="_Toc221056962" w:history="1">
            <w:r w:rsidRPr="009F2A6A">
              <w:rPr>
                <w:rStyle w:val="Hyperlink"/>
                <w:noProof/>
              </w:rPr>
              <w:t>3.1 Automation Bias</w:t>
            </w:r>
            <w:r>
              <w:rPr>
                <w:noProof/>
              </w:rPr>
              <w:tab/>
            </w:r>
            <w:r>
              <w:rPr>
                <w:noProof/>
              </w:rPr>
              <w:fldChar w:fldCharType="begin"/>
            </w:r>
            <w:r>
              <w:rPr>
                <w:noProof/>
              </w:rPr>
              <w:instrText xml:space="preserve"> PAGEREF _Toc221056962 \h </w:instrText>
            </w:r>
            <w:r>
              <w:rPr>
                <w:noProof/>
              </w:rPr>
            </w:r>
            <w:r>
              <w:rPr>
                <w:noProof/>
              </w:rPr>
              <w:fldChar w:fldCharType="separate"/>
            </w:r>
            <w:r>
              <w:rPr>
                <w:noProof/>
              </w:rPr>
              <w:t>9</w:t>
            </w:r>
            <w:r>
              <w:rPr>
                <w:noProof/>
              </w:rPr>
              <w:fldChar w:fldCharType="end"/>
            </w:r>
          </w:hyperlink>
        </w:p>
        <w:p w:rsidR="004541DF" w:rsidRDefault="004541DF">
          <w:pPr>
            <w:pStyle w:val="TOC2"/>
            <w:tabs>
              <w:tab w:val="right" w:leader="dot" w:pos="9350"/>
            </w:tabs>
            <w:rPr>
              <w:noProof/>
            </w:rPr>
          </w:pPr>
          <w:hyperlink w:anchor="_Toc221056963" w:history="1">
            <w:r w:rsidRPr="009F2A6A">
              <w:rPr>
                <w:rStyle w:val="Hyperlink"/>
                <w:noProof/>
              </w:rPr>
              <w:t>3.2 Multi-Agent Governance Frameworks</w:t>
            </w:r>
            <w:r>
              <w:rPr>
                <w:noProof/>
              </w:rPr>
              <w:tab/>
            </w:r>
            <w:r>
              <w:rPr>
                <w:noProof/>
              </w:rPr>
              <w:fldChar w:fldCharType="begin"/>
            </w:r>
            <w:r>
              <w:rPr>
                <w:noProof/>
              </w:rPr>
              <w:instrText xml:space="preserve"> PAGEREF _Toc221056963 \h </w:instrText>
            </w:r>
            <w:r>
              <w:rPr>
                <w:noProof/>
              </w:rPr>
            </w:r>
            <w:r>
              <w:rPr>
                <w:noProof/>
              </w:rPr>
              <w:fldChar w:fldCharType="separate"/>
            </w:r>
            <w:r>
              <w:rPr>
                <w:noProof/>
              </w:rPr>
              <w:t>10</w:t>
            </w:r>
            <w:r>
              <w:rPr>
                <w:noProof/>
              </w:rPr>
              <w:fldChar w:fldCharType="end"/>
            </w:r>
          </w:hyperlink>
        </w:p>
        <w:p w:rsidR="004541DF" w:rsidRDefault="004541DF">
          <w:pPr>
            <w:pStyle w:val="TOC2"/>
            <w:tabs>
              <w:tab w:val="right" w:leader="dot" w:pos="9350"/>
            </w:tabs>
            <w:rPr>
              <w:noProof/>
            </w:rPr>
          </w:pPr>
          <w:hyperlink w:anchor="_Toc221056964" w:history="1">
            <w:r w:rsidRPr="009F2A6A">
              <w:rPr>
                <w:rStyle w:val="Hyperlink"/>
                <w:noProof/>
              </w:rPr>
              <w:t>3.3 Non-Cognitive Agent Design</w:t>
            </w:r>
            <w:r>
              <w:rPr>
                <w:noProof/>
              </w:rPr>
              <w:tab/>
            </w:r>
            <w:r>
              <w:rPr>
                <w:noProof/>
              </w:rPr>
              <w:fldChar w:fldCharType="begin"/>
            </w:r>
            <w:r>
              <w:rPr>
                <w:noProof/>
              </w:rPr>
              <w:instrText xml:space="preserve"> PAGEREF _Toc221056964 \h </w:instrText>
            </w:r>
            <w:r>
              <w:rPr>
                <w:noProof/>
              </w:rPr>
            </w:r>
            <w:r>
              <w:rPr>
                <w:noProof/>
              </w:rPr>
              <w:fldChar w:fldCharType="separate"/>
            </w:r>
            <w:r>
              <w:rPr>
                <w:noProof/>
              </w:rPr>
              <w:t>11</w:t>
            </w:r>
            <w:r>
              <w:rPr>
                <w:noProof/>
              </w:rPr>
              <w:fldChar w:fldCharType="end"/>
            </w:r>
          </w:hyperlink>
        </w:p>
        <w:p w:rsidR="004541DF" w:rsidRDefault="004541DF">
          <w:pPr>
            <w:pStyle w:val="TOC2"/>
            <w:tabs>
              <w:tab w:val="right" w:leader="dot" w:pos="9350"/>
            </w:tabs>
            <w:rPr>
              <w:noProof/>
            </w:rPr>
          </w:pPr>
          <w:hyperlink w:anchor="_Toc221056965" w:history="1">
            <w:r w:rsidRPr="009F2A6A">
              <w:rPr>
                <w:rStyle w:val="Hyperlink"/>
                <w:noProof/>
              </w:rPr>
              <w:t>3.4 Audit Trail Architecture</w:t>
            </w:r>
            <w:r>
              <w:rPr>
                <w:noProof/>
              </w:rPr>
              <w:tab/>
            </w:r>
            <w:r>
              <w:rPr>
                <w:noProof/>
              </w:rPr>
              <w:fldChar w:fldCharType="begin"/>
            </w:r>
            <w:r>
              <w:rPr>
                <w:noProof/>
              </w:rPr>
              <w:instrText xml:space="preserve"> PAGEREF _Toc221056965 \h </w:instrText>
            </w:r>
            <w:r>
              <w:rPr>
                <w:noProof/>
              </w:rPr>
            </w:r>
            <w:r>
              <w:rPr>
                <w:noProof/>
              </w:rPr>
              <w:fldChar w:fldCharType="separate"/>
            </w:r>
            <w:r>
              <w:rPr>
                <w:noProof/>
              </w:rPr>
              <w:t>12</w:t>
            </w:r>
            <w:r>
              <w:rPr>
                <w:noProof/>
              </w:rPr>
              <w:fldChar w:fldCharType="end"/>
            </w:r>
          </w:hyperlink>
        </w:p>
        <w:p w:rsidR="004541DF" w:rsidRDefault="004541DF">
          <w:pPr>
            <w:pStyle w:val="TOC2"/>
            <w:tabs>
              <w:tab w:val="right" w:leader="dot" w:pos="9350"/>
            </w:tabs>
            <w:rPr>
              <w:noProof/>
            </w:rPr>
          </w:pPr>
          <w:hyperlink w:anchor="_Toc221056966" w:history="1">
            <w:r w:rsidRPr="009F2A6A">
              <w:rPr>
                <w:rStyle w:val="Hyperlink"/>
                <w:noProof/>
              </w:rPr>
              <w:t>3.5 Provider Plurality and AI Antitrust</w:t>
            </w:r>
            <w:r>
              <w:rPr>
                <w:noProof/>
              </w:rPr>
              <w:tab/>
            </w:r>
            <w:r>
              <w:rPr>
                <w:noProof/>
              </w:rPr>
              <w:fldChar w:fldCharType="begin"/>
            </w:r>
            <w:r>
              <w:rPr>
                <w:noProof/>
              </w:rPr>
              <w:instrText xml:space="preserve"> PAGEREF _Toc221056966 \h </w:instrText>
            </w:r>
            <w:r>
              <w:rPr>
                <w:noProof/>
              </w:rPr>
            </w:r>
            <w:r>
              <w:rPr>
                <w:noProof/>
              </w:rPr>
              <w:fldChar w:fldCharType="separate"/>
            </w:r>
            <w:r>
              <w:rPr>
                <w:noProof/>
              </w:rPr>
              <w:t>12</w:t>
            </w:r>
            <w:r>
              <w:rPr>
                <w:noProof/>
              </w:rPr>
              <w:fldChar w:fldCharType="end"/>
            </w:r>
          </w:hyperlink>
        </w:p>
        <w:p w:rsidR="004541DF" w:rsidRDefault="004541DF">
          <w:pPr>
            <w:pStyle w:val="TOC2"/>
            <w:tabs>
              <w:tab w:val="right" w:leader="dot" w:pos="9350"/>
            </w:tabs>
            <w:rPr>
              <w:noProof/>
            </w:rPr>
          </w:pPr>
          <w:hyperlink w:anchor="_Toc221056967" w:history="1">
            <w:r w:rsidRPr="009F2A6A">
              <w:rPr>
                <w:rStyle w:val="Hyperlink"/>
                <w:noProof/>
              </w:rPr>
              <w:t>3.6 WEIRD Bias in AI Training Data</w:t>
            </w:r>
            <w:r>
              <w:rPr>
                <w:noProof/>
              </w:rPr>
              <w:tab/>
            </w:r>
            <w:r>
              <w:rPr>
                <w:noProof/>
              </w:rPr>
              <w:fldChar w:fldCharType="begin"/>
            </w:r>
            <w:r>
              <w:rPr>
                <w:noProof/>
              </w:rPr>
              <w:instrText xml:space="preserve"> PAGEREF _Toc221056967 \h </w:instrText>
            </w:r>
            <w:r>
              <w:rPr>
                <w:noProof/>
              </w:rPr>
            </w:r>
            <w:r>
              <w:rPr>
                <w:noProof/>
              </w:rPr>
              <w:fldChar w:fldCharType="separate"/>
            </w:r>
            <w:r>
              <w:rPr>
                <w:noProof/>
              </w:rPr>
              <w:t>13</w:t>
            </w:r>
            <w:r>
              <w:rPr>
                <w:noProof/>
              </w:rPr>
              <w:fldChar w:fldCharType="end"/>
            </w:r>
          </w:hyperlink>
        </w:p>
        <w:p w:rsidR="004541DF" w:rsidRDefault="004541DF">
          <w:pPr>
            <w:pStyle w:val="TOC1"/>
            <w:tabs>
              <w:tab w:val="right" w:leader="dot" w:pos="9350"/>
            </w:tabs>
            <w:rPr>
              <w:noProof/>
            </w:rPr>
          </w:pPr>
          <w:hyperlink w:anchor="_Toc221056968" w:history="1">
            <w:r w:rsidRPr="009F2A6A">
              <w:rPr>
                <w:rStyle w:val="Hyperlink"/>
                <w:noProof/>
              </w:rPr>
              <w:t>4. The HAIA-RECCLIN Architecture</w:t>
            </w:r>
            <w:r>
              <w:rPr>
                <w:noProof/>
              </w:rPr>
              <w:tab/>
            </w:r>
            <w:r>
              <w:rPr>
                <w:noProof/>
              </w:rPr>
              <w:fldChar w:fldCharType="begin"/>
            </w:r>
            <w:r>
              <w:rPr>
                <w:noProof/>
              </w:rPr>
              <w:instrText xml:space="preserve"> PAGEREF _Toc221056968 \h </w:instrText>
            </w:r>
            <w:r>
              <w:rPr>
                <w:noProof/>
              </w:rPr>
            </w:r>
            <w:r>
              <w:rPr>
                <w:noProof/>
              </w:rPr>
              <w:fldChar w:fldCharType="separate"/>
            </w:r>
            <w:r>
              <w:rPr>
                <w:noProof/>
              </w:rPr>
              <w:t>14</w:t>
            </w:r>
            <w:r>
              <w:rPr>
                <w:noProof/>
              </w:rPr>
              <w:fldChar w:fldCharType="end"/>
            </w:r>
          </w:hyperlink>
        </w:p>
        <w:p w:rsidR="004541DF" w:rsidRDefault="004541DF">
          <w:pPr>
            <w:pStyle w:val="TOC2"/>
            <w:tabs>
              <w:tab w:val="right" w:leader="dot" w:pos="9350"/>
            </w:tabs>
            <w:rPr>
              <w:noProof/>
            </w:rPr>
          </w:pPr>
          <w:hyperlink w:anchor="_Toc221056969" w:history="1">
            <w:r w:rsidRPr="009F2A6A">
              <w:rPr>
                <w:rStyle w:val="Hyperlink"/>
                <w:noProof/>
              </w:rPr>
              <w:t>4.1 Functional Roles</w:t>
            </w:r>
            <w:r>
              <w:rPr>
                <w:noProof/>
              </w:rPr>
              <w:tab/>
            </w:r>
            <w:r>
              <w:rPr>
                <w:noProof/>
              </w:rPr>
              <w:fldChar w:fldCharType="begin"/>
            </w:r>
            <w:r>
              <w:rPr>
                <w:noProof/>
              </w:rPr>
              <w:instrText xml:space="preserve"> PAGEREF _Toc221056969 \h </w:instrText>
            </w:r>
            <w:r>
              <w:rPr>
                <w:noProof/>
              </w:rPr>
            </w:r>
            <w:r>
              <w:rPr>
                <w:noProof/>
              </w:rPr>
              <w:fldChar w:fldCharType="separate"/>
            </w:r>
            <w:r>
              <w:rPr>
                <w:noProof/>
              </w:rPr>
              <w:t>14</w:t>
            </w:r>
            <w:r>
              <w:rPr>
                <w:noProof/>
              </w:rPr>
              <w:fldChar w:fldCharType="end"/>
            </w:r>
          </w:hyperlink>
        </w:p>
        <w:p w:rsidR="004541DF" w:rsidRDefault="004541DF">
          <w:pPr>
            <w:pStyle w:val="TOC2"/>
            <w:tabs>
              <w:tab w:val="right" w:leader="dot" w:pos="9350"/>
            </w:tabs>
            <w:rPr>
              <w:noProof/>
            </w:rPr>
          </w:pPr>
          <w:hyperlink w:anchor="_Toc221056970" w:history="1">
            <w:r w:rsidRPr="009F2A6A">
              <w:rPr>
                <w:rStyle w:val="Hyperlink"/>
                <w:noProof/>
              </w:rPr>
              <w:t>4.2 Three Operating Models</w:t>
            </w:r>
            <w:r>
              <w:rPr>
                <w:noProof/>
              </w:rPr>
              <w:tab/>
            </w:r>
            <w:r>
              <w:rPr>
                <w:noProof/>
              </w:rPr>
              <w:fldChar w:fldCharType="begin"/>
            </w:r>
            <w:r>
              <w:rPr>
                <w:noProof/>
              </w:rPr>
              <w:instrText xml:space="preserve"> PAGEREF _Toc221056970 \h </w:instrText>
            </w:r>
            <w:r>
              <w:rPr>
                <w:noProof/>
              </w:rPr>
            </w:r>
            <w:r>
              <w:rPr>
                <w:noProof/>
              </w:rPr>
              <w:fldChar w:fldCharType="separate"/>
            </w:r>
            <w:r>
              <w:rPr>
                <w:noProof/>
              </w:rPr>
              <w:t>15</w:t>
            </w:r>
            <w:r>
              <w:rPr>
                <w:noProof/>
              </w:rPr>
              <w:fldChar w:fldCharType="end"/>
            </w:r>
          </w:hyperlink>
        </w:p>
        <w:p w:rsidR="004541DF" w:rsidRDefault="004541DF">
          <w:pPr>
            <w:pStyle w:val="TOC2"/>
            <w:tabs>
              <w:tab w:val="right" w:leader="dot" w:pos="9350"/>
            </w:tabs>
            <w:rPr>
              <w:noProof/>
            </w:rPr>
          </w:pPr>
          <w:hyperlink w:anchor="_Toc221056971" w:history="1">
            <w:r w:rsidRPr="009F2A6A">
              <w:rPr>
                <w:rStyle w:val="Hyperlink"/>
                <w:noProof/>
              </w:rPr>
              <w:t>4.3 Non-Cognitive Agent Design</w:t>
            </w:r>
            <w:r>
              <w:rPr>
                <w:noProof/>
              </w:rPr>
              <w:tab/>
            </w:r>
            <w:r>
              <w:rPr>
                <w:noProof/>
              </w:rPr>
              <w:fldChar w:fldCharType="begin"/>
            </w:r>
            <w:r>
              <w:rPr>
                <w:noProof/>
              </w:rPr>
              <w:instrText xml:space="preserve"> PAGEREF _Toc221056971 \h </w:instrText>
            </w:r>
            <w:r>
              <w:rPr>
                <w:noProof/>
              </w:rPr>
            </w:r>
            <w:r>
              <w:rPr>
                <w:noProof/>
              </w:rPr>
              <w:fldChar w:fldCharType="separate"/>
            </w:r>
            <w:r>
              <w:rPr>
                <w:noProof/>
              </w:rPr>
              <w:t>15</w:t>
            </w:r>
            <w:r>
              <w:rPr>
                <w:noProof/>
              </w:rPr>
              <w:fldChar w:fldCharType="end"/>
            </w:r>
          </w:hyperlink>
        </w:p>
        <w:p w:rsidR="004541DF" w:rsidRDefault="004541DF">
          <w:pPr>
            <w:pStyle w:val="TOC2"/>
            <w:tabs>
              <w:tab w:val="right" w:leader="dot" w:pos="9350"/>
            </w:tabs>
            <w:rPr>
              <w:noProof/>
            </w:rPr>
          </w:pPr>
          <w:hyperlink w:anchor="_Toc221056972" w:history="1">
            <w:r w:rsidRPr="009F2A6A">
              <w:rPr>
                <w:rStyle w:val="Hyperlink"/>
                <w:noProof/>
              </w:rPr>
              <w:t>4.4 Provider Plurality Protocol</w:t>
            </w:r>
            <w:r>
              <w:rPr>
                <w:noProof/>
              </w:rPr>
              <w:tab/>
            </w:r>
            <w:r>
              <w:rPr>
                <w:noProof/>
              </w:rPr>
              <w:fldChar w:fldCharType="begin"/>
            </w:r>
            <w:r>
              <w:rPr>
                <w:noProof/>
              </w:rPr>
              <w:instrText xml:space="preserve"> PAGEREF _Toc221056972 \h </w:instrText>
            </w:r>
            <w:r>
              <w:rPr>
                <w:noProof/>
              </w:rPr>
            </w:r>
            <w:r>
              <w:rPr>
                <w:noProof/>
              </w:rPr>
              <w:fldChar w:fldCharType="separate"/>
            </w:r>
            <w:r>
              <w:rPr>
                <w:noProof/>
              </w:rPr>
              <w:t>16</w:t>
            </w:r>
            <w:r>
              <w:rPr>
                <w:noProof/>
              </w:rPr>
              <w:fldChar w:fldCharType="end"/>
            </w:r>
          </w:hyperlink>
        </w:p>
        <w:p w:rsidR="004541DF" w:rsidRDefault="004541DF">
          <w:pPr>
            <w:pStyle w:val="TOC2"/>
            <w:tabs>
              <w:tab w:val="right" w:leader="dot" w:pos="9350"/>
            </w:tabs>
            <w:rPr>
              <w:noProof/>
            </w:rPr>
          </w:pPr>
          <w:hyperlink w:anchor="_Toc221056973" w:history="1">
            <w:r w:rsidRPr="009F2A6A">
              <w:rPr>
                <w:rStyle w:val="Hyperlink"/>
                <w:noProof/>
              </w:rPr>
              <w:t>4.5 Audit Trail Architecture</w:t>
            </w:r>
            <w:r>
              <w:rPr>
                <w:noProof/>
              </w:rPr>
              <w:tab/>
            </w:r>
            <w:r>
              <w:rPr>
                <w:noProof/>
              </w:rPr>
              <w:fldChar w:fldCharType="begin"/>
            </w:r>
            <w:r>
              <w:rPr>
                <w:noProof/>
              </w:rPr>
              <w:instrText xml:space="preserve"> PAGEREF _Toc221056973 \h </w:instrText>
            </w:r>
            <w:r>
              <w:rPr>
                <w:noProof/>
              </w:rPr>
            </w:r>
            <w:r>
              <w:rPr>
                <w:noProof/>
              </w:rPr>
              <w:fldChar w:fldCharType="separate"/>
            </w:r>
            <w:r>
              <w:rPr>
                <w:noProof/>
              </w:rPr>
              <w:t>16</w:t>
            </w:r>
            <w:r>
              <w:rPr>
                <w:noProof/>
              </w:rPr>
              <w:fldChar w:fldCharType="end"/>
            </w:r>
          </w:hyperlink>
        </w:p>
        <w:p w:rsidR="004541DF" w:rsidRDefault="004541DF">
          <w:pPr>
            <w:pStyle w:val="TOC1"/>
            <w:tabs>
              <w:tab w:val="right" w:leader="dot" w:pos="9350"/>
            </w:tabs>
            <w:rPr>
              <w:noProof/>
            </w:rPr>
          </w:pPr>
          <w:hyperlink w:anchor="_Toc221056974" w:history="1">
            <w:r w:rsidRPr="009F2A6A">
              <w:rPr>
                <w:rStyle w:val="Hyperlink"/>
                <w:noProof/>
              </w:rPr>
              <w:t>5. Evaluation: Operational Evidence</w:t>
            </w:r>
            <w:r>
              <w:rPr>
                <w:noProof/>
              </w:rPr>
              <w:tab/>
            </w:r>
            <w:r>
              <w:rPr>
                <w:noProof/>
              </w:rPr>
              <w:fldChar w:fldCharType="begin"/>
            </w:r>
            <w:r>
              <w:rPr>
                <w:noProof/>
              </w:rPr>
              <w:instrText xml:space="preserve"> PAGEREF _Toc221056974 \h </w:instrText>
            </w:r>
            <w:r>
              <w:rPr>
                <w:noProof/>
              </w:rPr>
            </w:r>
            <w:r>
              <w:rPr>
                <w:noProof/>
              </w:rPr>
              <w:fldChar w:fldCharType="separate"/>
            </w:r>
            <w:r>
              <w:rPr>
                <w:noProof/>
              </w:rPr>
              <w:t>18</w:t>
            </w:r>
            <w:r>
              <w:rPr>
                <w:noProof/>
              </w:rPr>
              <w:fldChar w:fldCharType="end"/>
            </w:r>
          </w:hyperlink>
        </w:p>
        <w:p w:rsidR="004541DF" w:rsidRDefault="004541DF">
          <w:pPr>
            <w:pStyle w:val="TOC1"/>
            <w:tabs>
              <w:tab w:val="right" w:leader="dot" w:pos="9350"/>
            </w:tabs>
            <w:rPr>
              <w:noProof/>
            </w:rPr>
          </w:pPr>
          <w:hyperlink w:anchor="_Toc221056975" w:history="1">
            <w:r w:rsidRPr="009F2A6A">
              <w:rPr>
                <w:rStyle w:val="Hyperlink"/>
                <w:noProof/>
              </w:rPr>
              <w:t>6. Multi-Platform Review Under Checkpoint-Based Governance</w:t>
            </w:r>
            <w:r>
              <w:rPr>
                <w:noProof/>
              </w:rPr>
              <w:tab/>
            </w:r>
            <w:r>
              <w:rPr>
                <w:noProof/>
              </w:rPr>
              <w:fldChar w:fldCharType="begin"/>
            </w:r>
            <w:r>
              <w:rPr>
                <w:noProof/>
              </w:rPr>
              <w:instrText xml:space="preserve"> PAGEREF _Toc221056975 \h </w:instrText>
            </w:r>
            <w:r>
              <w:rPr>
                <w:noProof/>
              </w:rPr>
            </w:r>
            <w:r>
              <w:rPr>
                <w:noProof/>
              </w:rPr>
              <w:fldChar w:fldCharType="separate"/>
            </w:r>
            <w:r>
              <w:rPr>
                <w:noProof/>
              </w:rPr>
              <w:t>20</w:t>
            </w:r>
            <w:r>
              <w:rPr>
                <w:noProof/>
              </w:rPr>
              <w:fldChar w:fldCharType="end"/>
            </w:r>
          </w:hyperlink>
        </w:p>
        <w:p w:rsidR="004541DF" w:rsidRDefault="004541DF">
          <w:pPr>
            <w:pStyle w:val="TOC1"/>
            <w:tabs>
              <w:tab w:val="right" w:leader="dot" w:pos="9350"/>
            </w:tabs>
            <w:rPr>
              <w:noProof/>
            </w:rPr>
          </w:pPr>
          <w:hyperlink w:anchor="_Toc221056976" w:history="1">
            <w:r w:rsidRPr="009F2A6A">
              <w:rPr>
                <w:rStyle w:val="Hyperlink"/>
                <w:noProof/>
              </w:rPr>
              <w:t>7. Limitations and Future Work</w:t>
            </w:r>
            <w:r>
              <w:rPr>
                <w:noProof/>
              </w:rPr>
              <w:tab/>
            </w:r>
            <w:r>
              <w:rPr>
                <w:noProof/>
              </w:rPr>
              <w:fldChar w:fldCharType="begin"/>
            </w:r>
            <w:r>
              <w:rPr>
                <w:noProof/>
              </w:rPr>
              <w:instrText xml:space="preserve"> PAGEREF _Toc221056976 \h </w:instrText>
            </w:r>
            <w:r>
              <w:rPr>
                <w:noProof/>
              </w:rPr>
            </w:r>
            <w:r>
              <w:rPr>
                <w:noProof/>
              </w:rPr>
              <w:fldChar w:fldCharType="separate"/>
            </w:r>
            <w:r>
              <w:rPr>
                <w:noProof/>
              </w:rPr>
              <w:t>21</w:t>
            </w:r>
            <w:r>
              <w:rPr>
                <w:noProof/>
              </w:rPr>
              <w:fldChar w:fldCharType="end"/>
            </w:r>
          </w:hyperlink>
        </w:p>
        <w:p w:rsidR="004541DF" w:rsidRDefault="004541DF">
          <w:pPr>
            <w:pStyle w:val="TOC2"/>
            <w:tabs>
              <w:tab w:val="right" w:leader="dot" w:pos="9350"/>
            </w:tabs>
            <w:rPr>
              <w:noProof/>
            </w:rPr>
          </w:pPr>
          <w:hyperlink w:anchor="_Toc221056977" w:history="1">
            <w:r w:rsidRPr="009F2A6A">
              <w:rPr>
                <w:rStyle w:val="Hyperlink"/>
                <w:noProof/>
              </w:rPr>
              <w:t>7.1 WEIRD Bias Limitation</w:t>
            </w:r>
            <w:r>
              <w:rPr>
                <w:noProof/>
              </w:rPr>
              <w:tab/>
            </w:r>
            <w:r>
              <w:rPr>
                <w:noProof/>
              </w:rPr>
              <w:fldChar w:fldCharType="begin"/>
            </w:r>
            <w:r>
              <w:rPr>
                <w:noProof/>
              </w:rPr>
              <w:instrText xml:space="preserve"> PAGEREF _Toc221056977 \h </w:instrText>
            </w:r>
            <w:r>
              <w:rPr>
                <w:noProof/>
              </w:rPr>
            </w:r>
            <w:r>
              <w:rPr>
                <w:noProof/>
              </w:rPr>
              <w:fldChar w:fldCharType="separate"/>
            </w:r>
            <w:r>
              <w:rPr>
                <w:noProof/>
              </w:rPr>
              <w:t>21</w:t>
            </w:r>
            <w:r>
              <w:rPr>
                <w:noProof/>
              </w:rPr>
              <w:fldChar w:fldCharType="end"/>
            </w:r>
          </w:hyperlink>
        </w:p>
        <w:p w:rsidR="004541DF" w:rsidRDefault="004541DF">
          <w:pPr>
            <w:pStyle w:val="TOC2"/>
            <w:tabs>
              <w:tab w:val="right" w:leader="dot" w:pos="9350"/>
            </w:tabs>
            <w:rPr>
              <w:noProof/>
            </w:rPr>
          </w:pPr>
          <w:hyperlink w:anchor="_Toc221056978" w:history="1">
            <w:r w:rsidRPr="009F2A6A">
              <w:rPr>
                <w:rStyle w:val="Hyperlink"/>
                <w:noProof/>
              </w:rPr>
              <w:t>7.2 Self-Validation</w:t>
            </w:r>
            <w:r>
              <w:rPr>
                <w:noProof/>
              </w:rPr>
              <w:tab/>
            </w:r>
            <w:r>
              <w:rPr>
                <w:noProof/>
              </w:rPr>
              <w:fldChar w:fldCharType="begin"/>
            </w:r>
            <w:r>
              <w:rPr>
                <w:noProof/>
              </w:rPr>
              <w:instrText xml:space="preserve"> PAGEREF _Toc221056978 \h </w:instrText>
            </w:r>
            <w:r>
              <w:rPr>
                <w:noProof/>
              </w:rPr>
            </w:r>
            <w:r>
              <w:rPr>
                <w:noProof/>
              </w:rPr>
              <w:fldChar w:fldCharType="separate"/>
            </w:r>
            <w:r>
              <w:rPr>
                <w:noProof/>
              </w:rPr>
              <w:t>21</w:t>
            </w:r>
            <w:r>
              <w:rPr>
                <w:noProof/>
              </w:rPr>
              <w:fldChar w:fldCharType="end"/>
            </w:r>
          </w:hyperlink>
        </w:p>
        <w:p w:rsidR="004541DF" w:rsidRDefault="004541DF">
          <w:pPr>
            <w:pStyle w:val="TOC2"/>
            <w:tabs>
              <w:tab w:val="right" w:leader="dot" w:pos="9350"/>
            </w:tabs>
            <w:rPr>
              <w:noProof/>
            </w:rPr>
          </w:pPr>
          <w:hyperlink w:anchor="_Toc221056979" w:history="1">
            <w:r w:rsidRPr="009F2A6A">
              <w:rPr>
                <w:rStyle w:val="Hyperlink"/>
                <w:noProof/>
              </w:rPr>
              <w:t>7.3 Navigator Concentration</w:t>
            </w:r>
            <w:r>
              <w:rPr>
                <w:noProof/>
              </w:rPr>
              <w:tab/>
            </w:r>
            <w:r>
              <w:rPr>
                <w:noProof/>
              </w:rPr>
              <w:fldChar w:fldCharType="begin"/>
            </w:r>
            <w:r>
              <w:rPr>
                <w:noProof/>
              </w:rPr>
              <w:instrText xml:space="preserve"> PAGEREF _Toc221056979 \h </w:instrText>
            </w:r>
            <w:r>
              <w:rPr>
                <w:noProof/>
              </w:rPr>
            </w:r>
            <w:r>
              <w:rPr>
                <w:noProof/>
              </w:rPr>
              <w:fldChar w:fldCharType="separate"/>
            </w:r>
            <w:r>
              <w:rPr>
                <w:noProof/>
              </w:rPr>
              <w:t>21</w:t>
            </w:r>
            <w:r>
              <w:rPr>
                <w:noProof/>
              </w:rPr>
              <w:fldChar w:fldCharType="end"/>
            </w:r>
          </w:hyperlink>
        </w:p>
        <w:p w:rsidR="004541DF" w:rsidRDefault="004541DF">
          <w:pPr>
            <w:pStyle w:val="TOC2"/>
            <w:tabs>
              <w:tab w:val="right" w:leader="dot" w:pos="9350"/>
            </w:tabs>
            <w:rPr>
              <w:noProof/>
            </w:rPr>
          </w:pPr>
          <w:hyperlink w:anchor="_Toc221056980" w:history="1">
            <w:r w:rsidRPr="009F2A6A">
              <w:rPr>
                <w:rStyle w:val="Hyperlink"/>
                <w:noProof/>
              </w:rPr>
              <w:t>7.4 Model 2 Scalability</w:t>
            </w:r>
            <w:r>
              <w:rPr>
                <w:noProof/>
              </w:rPr>
              <w:tab/>
            </w:r>
            <w:r>
              <w:rPr>
                <w:noProof/>
              </w:rPr>
              <w:fldChar w:fldCharType="begin"/>
            </w:r>
            <w:r>
              <w:rPr>
                <w:noProof/>
              </w:rPr>
              <w:instrText xml:space="preserve"> PAGEREF _Toc221056980 \h </w:instrText>
            </w:r>
            <w:r>
              <w:rPr>
                <w:noProof/>
              </w:rPr>
            </w:r>
            <w:r>
              <w:rPr>
                <w:noProof/>
              </w:rPr>
              <w:fldChar w:fldCharType="separate"/>
            </w:r>
            <w:r>
              <w:rPr>
                <w:noProof/>
              </w:rPr>
              <w:t>21</w:t>
            </w:r>
            <w:r>
              <w:rPr>
                <w:noProof/>
              </w:rPr>
              <w:fldChar w:fldCharType="end"/>
            </w:r>
          </w:hyperlink>
        </w:p>
        <w:p w:rsidR="004541DF" w:rsidRDefault="004541DF">
          <w:pPr>
            <w:pStyle w:val="TOC2"/>
            <w:tabs>
              <w:tab w:val="right" w:leader="dot" w:pos="9350"/>
            </w:tabs>
            <w:rPr>
              <w:noProof/>
            </w:rPr>
          </w:pPr>
          <w:hyperlink w:anchor="_Toc221056981" w:history="1">
            <w:r w:rsidRPr="009F2A6A">
              <w:rPr>
                <w:rStyle w:val="Hyperlink"/>
                <w:noProof/>
              </w:rPr>
              <w:t>7.5 Future Work</w:t>
            </w:r>
            <w:r>
              <w:rPr>
                <w:noProof/>
              </w:rPr>
              <w:tab/>
            </w:r>
            <w:r>
              <w:rPr>
                <w:noProof/>
              </w:rPr>
              <w:fldChar w:fldCharType="begin"/>
            </w:r>
            <w:r>
              <w:rPr>
                <w:noProof/>
              </w:rPr>
              <w:instrText xml:space="preserve"> PAGEREF _Toc221056981 \h </w:instrText>
            </w:r>
            <w:r>
              <w:rPr>
                <w:noProof/>
              </w:rPr>
            </w:r>
            <w:r>
              <w:rPr>
                <w:noProof/>
              </w:rPr>
              <w:fldChar w:fldCharType="separate"/>
            </w:r>
            <w:r>
              <w:rPr>
                <w:noProof/>
              </w:rPr>
              <w:t>22</w:t>
            </w:r>
            <w:r>
              <w:rPr>
                <w:noProof/>
              </w:rPr>
              <w:fldChar w:fldCharType="end"/>
            </w:r>
          </w:hyperlink>
        </w:p>
        <w:p w:rsidR="004541DF" w:rsidRDefault="004541DF">
          <w:pPr>
            <w:pStyle w:val="TOC1"/>
            <w:tabs>
              <w:tab w:val="right" w:leader="dot" w:pos="9350"/>
            </w:tabs>
            <w:rPr>
              <w:noProof/>
            </w:rPr>
          </w:pPr>
          <w:hyperlink w:anchor="_Toc221056982" w:history="1">
            <w:r w:rsidRPr="009F2A6A">
              <w:rPr>
                <w:rStyle w:val="Hyperlink"/>
                <w:noProof/>
              </w:rPr>
              <w:t>8. Discussion</w:t>
            </w:r>
            <w:r>
              <w:rPr>
                <w:noProof/>
              </w:rPr>
              <w:tab/>
            </w:r>
            <w:r>
              <w:rPr>
                <w:noProof/>
              </w:rPr>
              <w:fldChar w:fldCharType="begin"/>
            </w:r>
            <w:r>
              <w:rPr>
                <w:noProof/>
              </w:rPr>
              <w:instrText xml:space="preserve"> PAGEREF _Toc221056982 \h </w:instrText>
            </w:r>
            <w:r>
              <w:rPr>
                <w:noProof/>
              </w:rPr>
            </w:r>
            <w:r>
              <w:rPr>
                <w:noProof/>
              </w:rPr>
              <w:fldChar w:fldCharType="separate"/>
            </w:r>
            <w:r>
              <w:rPr>
                <w:noProof/>
              </w:rPr>
              <w:t>23</w:t>
            </w:r>
            <w:r>
              <w:rPr>
                <w:noProof/>
              </w:rPr>
              <w:fldChar w:fldCharType="end"/>
            </w:r>
          </w:hyperlink>
        </w:p>
        <w:p w:rsidR="004541DF" w:rsidRDefault="004541DF">
          <w:pPr>
            <w:pStyle w:val="TOC1"/>
            <w:tabs>
              <w:tab w:val="right" w:leader="dot" w:pos="9350"/>
            </w:tabs>
            <w:rPr>
              <w:noProof/>
            </w:rPr>
          </w:pPr>
          <w:hyperlink w:anchor="_Toc221056983" w:history="1">
            <w:r w:rsidRPr="009F2A6A">
              <w:rPr>
                <w:rStyle w:val="Hyperlink"/>
                <w:noProof/>
              </w:rPr>
              <w:t>9. Conclusion</w:t>
            </w:r>
            <w:r>
              <w:rPr>
                <w:noProof/>
              </w:rPr>
              <w:tab/>
            </w:r>
            <w:r>
              <w:rPr>
                <w:noProof/>
              </w:rPr>
              <w:fldChar w:fldCharType="begin"/>
            </w:r>
            <w:r>
              <w:rPr>
                <w:noProof/>
              </w:rPr>
              <w:instrText xml:space="preserve"> PAGEREF _Toc221056983 \h </w:instrText>
            </w:r>
            <w:r>
              <w:rPr>
                <w:noProof/>
              </w:rPr>
            </w:r>
            <w:r>
              <w:rPr>
                <w:noProof/>
              </w:rPr>
              <w:fldChar w:fldCharType="separate"/>
            </w:r>
            <w:r>
              <w:rPr>
                <w:noProof/>
              </w:rPr>
              <w:t>25</w:t>
            </w:r>
            <w:r>
              <w:rPr>
                <w:noProof/>
              </w:rPr>
              <w:fldChar w:fldCharType="end"/>
            </w:r>
          </w:hyperlink>
        </w:p>
        <w:p w:rsidR="004541DF" w:rsidRDefault="004541DF">
          <w:pPr>
            <w:pStyle w:val="TOC1"/>
            <w:tabs>
              <w:tab w:val="right" w:leader="dot" w:pos="9350"/>
            </w:tabs>
            <w:rPr>
              <w:noProof/>
            </w:rPr>
          </w:pPr>
          <w:hyperlink w:anchor="_Toc221056984" w:history="1">
            <w:r w:rsidRPr="009F2A6A">
              <w:rPr>
                <w:rStyle w:val="Hyperlink"/>
                <w:noProof/>
              </w:rPr>
              <w:t>References</w:t>
            </w:r>
            <w:r>
              <w:rPr>
                <w:noProof/>
              </w:rPr>
              <w:tab/>
            </w:r>
            <w:r>
              <w:rPr>
                <w:noProof/>
              </w:rPr>
              <w:fldChar w:fldCharType="begin"/>
            </w:r>
            <w:r>
              <w:rPr>
                <w:noProof/>
              </w:rPr>
              <w:instrText xml:space="preserve"> PAGEREF _Toc221056984 \h </w:instrText>
            </w:r>
            <w:r>
              <w:rPr>
                <w:noProof/>
              </w:rPr>
            </w:r>
            <w:r>
              <w:rPr>
                <w:noProof/>
              </w:rPr>
              <w:fldChar w:fldCharType="separate"/>
            </w:r>
            <w:r>
              <w:rPr>
                <w:noProof/>
              </w:rPr>
              <w:t>26</w:t>
            </w:r>
            <w:r>
              <w:rPr>
                <w:noProof/>
              </w:rPr>
              <w:fldChar w:fldCharType="end"/>
            </w:r>
          </w:hyperlink>
        </w:p>
        <w:p w:rsidR="00371045" w:rsidRDefault="00F95A3B">
          <w:r>
            <w:fldChar w:fldCharType="end"/>
          </w:r>
        </w:p>
      </w:sdtContent>
    </w:sdt>
    <w:p w:rsidR="00371045" w:rsidRDefault="00F95A3B">
      <w:r>
        <w:lastRenderedPageBreak/>
        <w:br w:type="page"/>
      </w:r>
    </w:p>
    <w:p w:rsidR="00371045" w:rsidRDefault="00F95A3B">
      <w:pPr>
        <w:pStyle w:val="Heading1"/>
      </w:pPr>
      <w:bookmarkStart w:id="1" w:name="_Toc221056953"/>
      <w:r>
        <w:lastRenderedPageBreak/>
        <w:t>1. Introduction</w:t>
      </w:r>
      <w:bookmarkEnd w:id="1"/>
    </w:p>
    <w:p w:rsidR="00371045" w:rsidRDefault="00F95A3B">
      <w:pPr>
        <w:spacing w:after="200" w:line="276" w:lineRule="auto"/>
        <w:jc w:val="both"/>
      </w:pPr>
      <w:r>
        <w:t>The rapid proliferation of large language models (LLMs) and multi-agent systems has created an urgent governance deficit. Organizations increasingly deploy AI-assisted workflows across critical domains, from financial analysis to healthcare decision suppor</w:t>
      </w:r>
      <w:r>
        <w:t>t, yet the infrastructure governing these deployments remains structurally inadequate. Geoffrey Hinton, widely recognized as the pioneer of deep learning, has publicly estimated a 10 to 20 percent probability that artificial intelligence could displace hum</w:t>
      </w:r>
      <w:r>
        <w:t>anity entirely (Hoover, 2025; Vallance, 2024). Whether or not one accepts the specific probability estimate, the warning underscores a fundamental truth: AI systems are being deployed at speeds that exceed the development of governance frameworks to constr</w:t>
      </w:r>
      <w:r>
        <w:t>ain them.</w:t>
      </w:r>
    </w:p>
    <w:p w:rsidR="00371045" w:rsidRDefault="00F95A3B">
      <w:pPr>
        <w:spacing w:after="200" w:line="276" w:lineRule="auto"/>
        <w:ind w:firstLine="720"/>
        <w:jc w:val="both"/>
      </w:pPr>
      <w:r>
        <w:t>The European Union’s AI Act (Regulation 2024/1689), the most comprehensive AI regulatory framework to date, mandates human oversight for high-risk AI systems under Article 14 and logging capabilities under Article 12 (European Union, 2024). The I</w:t>
      </w:r>
      <w:r>
        <w:t>SO/IEC 42001 standard establishes requirements for AI management systems, including documentation and risk assessment. The NIST AI Risk Management Framework provides voluntary guidance for identifying and managing AI risks. Yet no published governance arch</w:t>
      </w:r>
      <w:r>
        <w:t>itecture translates these regulatory requirements into an operational agent design that organizations can implement, audit, and scale.</w:t>
      </w:r>
    </w:p>
    <w:p w:rsidR="00371045" w:rsidRDefault="00F95A3B">
      <w:pPr>
        <w:spacing w:after="200" w:line="276" w:lineRule="auto"/>
        <w:ind w:firstLine="720"/>
        <w:jc w:val="both"/>
      </w:pPr>
      <w:r>
        <w:t>The current multi-agent ecosystem is dominated by orchestration frameworks: LangGraph, AutoGen, CrewAI, and similar tools</w:t>
      </w:r>
      <w:r>
        <w:t xml:space="preserve"> that solve the engineering problem of routing tasks between AI platforms. These frameworks address </w:t>
      </w:r>
      <w:r>
        <w:rPr>
          <w:i/>
          <w:iCs/>
        </w:rPr>
        <w:t>how</w:t>
      </w:r>
      <w:r>
        <w:t xml:space="preserve"> tasks move between agents. They do not address </w:t>
      </w:r>
      <w:r>
        <w:rPr>
          <w:i/>
          <w:iCs/>
        </w:rPr>
        <w:t>who</w:t>
      </w:r>
      <w:r>
        <w:t xml:space="preserve"> is accountable when outputs are wrong, </w:t>
      </w:r>
      <w:r>
        <w:rPr>
          <w:i/>
          <w:iCs/>
        </w:rPr>
        <w:t>how</w:t>
      </w:r>
      <w:r>
        <w:t xml:space="preserve"> bias is detected before it scales, or </w:t>
      </w:r>
      <w:r>
        <w:rPr>
          <w:i/>
          <w:iCs/>
        </w:rPr>
        <w:t>what</w:t>
      </w:r>
      <w:r>
        <w:t xml:space="preserve"> happens when a platform cannot be trusted. Orchestration solves plumbing. Governance solves accountability. Neither replaces the other.</w:t>
      </w:r>
    </w:p>
    <w:p w:rsidR="00371045" w:rsidRDefault="00F95A3B">
      <w:pPr>
        <w:spacing w:after="200" w:line="276" w:lineRule="auto"/>
        <w:ind w:firstLine="720"/>
        <w:jc w:val="both"/>
      </w:pPr>
      <w:r>
        <w:t>This paper presents HAIA-RECCLIN, a governance architecture specification for a non-cognitive autonomous agent that sit</w:t>
      </w:r>
      <w:r>
        <w:t>s between human operators and multiple independent AI platforms. The architecture was developed through iterative multi-platform refinement from 2024 through 2026, validated through multiple operational proof-of-concept deployments across ten AI platforms,</w:t>
      </w:r>
      <w:r>
        <w:t xml:space="preserve"> and independently reviewed through structured adversarial peer review. The specification addresses the regulatory, compliance, and existential safety concerns raised by Hinton and formalized in the EU AI Act by making human oversight structural rather tha</w:t>
      </w:r>
      <w:r>
        <w:t>n optional, making every decision documented and attributable, preventing single-vendor capture through mandatory provider plurality, and producing the logging and accountability evidence required across the full compliance stack.</w:t>
      </w:r>
    </w:p>
    <w:p w:rsidR="00371045" w:rsidRDefault="00F95A3B">
      <w:pPr>
        <w:pStyle w:val="Heading2"/>
      </w:pPr>
      <w:bookmarkStart w:id="2" w:name="_Toc221056954"/>
      <w:r>
        <w:t>1.1 Research Question</w:t>
      </w:r>
      <w:bookmarkEnd w:id="2"/>
    </w:p>
    <w:p w:rsidR="00371045" w:rsidRDefault="00F95A3B">
      <w:pPr>
        <w:spacing w:after="200" w:line="276" w:lineRule="auto"/>
        <w:jc w:val="both"/>
      </w:pPr>
      <w:r>
        <w:t>How</w:t>
      </w:r>
      <w:r>
        <w:t xml:space="preserve"> can organizations govern multi-AI collaboration at audit grade, meaning full traceability, accountability, and regulatory compliance, without trusting any single AI platform?</w:t>
      </w:r>
    </w:p>
    <w:p w:rsidR="00371045" w:rsidRDefault="00F95A3B">
      <w:pPr>
        <w:pStyle w:val="Heading2"/>
      </w:pPr>
      <w:bookmarkStart w:id="3" w:name="_Toc221056955"/>
      <w:r>
        <w:lastRenderedPageBreak/>
        <w:t>1.2 Contributions</w:t>
      </w:r>
      <w:bookmarkEnd w:id="3"/>
    </w:p>
    <w:p w:rsidR="00371045" w:rsidRDefault="00F95A3B">
      <w:pPr>
        <w:spacing w:after="200" w:line="276" w:lineRule="auto"/>
        <w:jc w:val="both"/>
      </w:pPr>
      <w:r>
        <w:t>This paper makes five contributions to the AI governance liter</w:t>
      </w:r>
      <w:r>
        <w:t xml:space="preserve">ature. First, it introduces the concept of a non-cognitive governance agent: an autonomous system that is deliberately prevented from evaluating, weighting, or filtering the content it handles, reducing the attack surface to zero cognitive operations. The </w:t>
      </w:r>
      <w:r>
        <w:t>agent is under preliminary development as HAIA-GOPEL (Governance Orchestrator Policy Enforcement Layer). Second, it specifies a provider plurality protocol using anchor-plus-rotation-pool architecture that prevents single-vendor capture and enables cross-p</w:t>
      </w:r>
      <w:r>
        <w:t>latform triangulation. Third, it defines an append-only, tamper-evident, cryptographically chained audit trail architecture that produces the documentation artifacts required across the EU AI Act, ISO 42001, ISO 27001, NIST AI RMF, and NIST Cybersecurity F</w:t>
      </w:r>
      <w:r>
        <w:t>ramework compliance stack. Fourth, it operationalizes automation bias detection through threshold-based monitoring of human approval and reversal rates, converting behavioral science theory into an engineering control. Fifth, it proposes a three-tier categ</w:t>
      </w:r>
      <w:r>
        <w:t>orical distinction between Ethical AI, Responsible AI, and AI Governance that provides definitional clarity absent from the current literature.</w:t>
      </w:r>
    </w:p>
    <w:p w:rsidR="00371045" w:rsidRDefault="00F95A3B">
      <w:r>
        <w:br w:type="page"/>
      </w:r>
    </w:p>
    <w:p w:rsidR="00371045" w:rsidRDefault="00F95A3B">
      <w:pPr>
        <w:pStyle w:val="Heading1"/>
      </w:pPr>
      <w:bookmarkStart w:id="4" w:name="_Toc221056956"/>
      <w:r>
        <w:lastRenderedPageBreak/>
        <w:t>2. Background and Definitions</w:t>
      </w:r>
      <w:bookmarkEnd w:id="4"/>
    </w:p>
    <w:p w:rsidR="00371045" w:rsidRDefault="00F95A3B">
      <w:pPr>
        <w:spacing w:after="200" w:line="276" w:lineRule="auto"/>
        <w:jc w:val="both"/>
      </w:pPr>
      <w:r>
        <w:t>The AI governance discourse suffers from imprecise terminology. Terms such as “e</w:t>
      </w:r>
      <w:r>
        <w:t>thical AI,” “responsible AI,” and “AI governance” are used interchangeably across academic, regulatory, and industry contexts despite describing fundamentally different scopes of concern. This section proposes a three-tier categorical framework that provid</w:t>
      </w:r>
      <w:r>
        <w:t>es definitional precision for the remainder of this paper and, the author argues, for the field more broadly.</w:t>
      </w:r>
    </w:p>
    <w:p w:rsidR="00371045" w:rsidRDefault="00F95A3B">
      <w:pPr>
        <w:pStyle w:val="Heading2"/>
      </w:pPr>
      <w:bookmarkStart w:id="5" w:name="_Toc221056957"/>
      <w:r>
        <w:t>2.1 Ethical AI</w:t>
      </w:r>
      <w:bookmarkEnd w:id="5"/>
    </w:p>
    <w:p w:rsidR="00371045" w:rsidRDefault="00F95A3B">
      <w:pPr>
        <w:spacing w:after="200" w:line="276" w:lineRule="auto"/>
        <w:jc w:val="both"/>
      </w:pPr>
      <w:r>
        <w:t xml:space="preserve">Ethical AI operates at the philosophical and moral reasoning layer. It asks what AI systems </w:t>
      </w:r>
      <w:r>
        <w:rPr>
          <w:i/>
          <w:iCs/>
        </w:rPr>
        <w:t>should</w:t>
      </w:r>
      <w:r>
        <w:t xml:space="preserve"> do and what values they should e</w:t>
      </w:r>
      <w:r>
        <w:t>mbody. Ethical AI concerns include fairness, bias, transparency, beneficence, and alignment with human values. It is the domain of philosophy, ethics boards, and values-based design principles. Ethical AI produces principles. It does not, by itself, produc</w:t>
      </w:r>
      <w:r>
        <w:t>e enforceable controls.</w:t>
      </w:r>
    </w:p>
    <w:p w:rsidR="00371045" w:rsidRDefault="00F95A3B">
      <w:pPr>
        <w:pStyle w:val="Heading2"/>
      </w:pPr>
      <w:bookmarkStart w:id="6" w:name="_Toc221056958"/>
      <w:r>
        <w:t>2.2 Responsible AI</w:t>
      </w:r>
      <w:bookmarkEnd w:id="6"/>
    </w:p>
    <w:p w:rsidR="00371045" w:rsidRDefault="00F95A3B">
      <w:pPr>
        <w:spacing w:after="200" w:line="276" w:lineRule="auto"/>
        <w:jc w:val="both"/>
      </w:pPr>
      <w:r>
        <w:t>Responsible AI operates at the implementation and engineering layer. It asks how ethical principles are translated into technical controls, organizational practices, and measurable outcomes. Responsible AI concern</w:t>
      </w:r>
      <w:r>
        <w:t>s include model testing, bias mitigation techniques, explainability methods, safety testing, and deployment guardrails. Responsible AI produces controls. It does not, by itself, produce the organizational authority structures that ensure those controls are</w:t>
      </w:r>
      <w:r>
        <w:t xml:space="preserve"> followed.</w:t>
      </w:r>
    </w:p>
    <w:p w:rsidR="00371045" w:rsidRDefault="00F95A3B">
      <w:pPr>
        <w:pStyle w:val="Heading2"/>
      </w:pPr>
      <w:bookmarkStart w:id="7" w:name="_Toc221056959"/>
      <w:r>
        <w:t>2.3 AI Governance</w:t>
      </w:r>
      <w:bookmarkEnd w:id="7"/>
    </w:p>
    <w:p w:rsidR="00371045" w:rsidRDefault="00F95A3B">
      <w:pPr>
        <w:spacing w:after="200" w:line="276" w:lineRule="auto"/>
        <w:jc w:val="both"/>
      </w:pPr>
      <w:r>
        <w:t>AI Governance operates at the organizational authority and accountability layer. It asks who decides, who is accountable, what happens when controls fail, and how compliance is documented and audited. AI Governance concerns inc</w:t>
      </w:r>
      <w:r>
        <w:t>lude decision authority structures, audit trail requirements, regulatory compliance mapping, human oversight mandates, and accountability chains. AI Governance produces the organizational and architectural structures within which ethical principles and res</w:t>
      </w:r>
      <w:r>
        <w:t>ponsible practices operate. HAIA-RECCLIN is an AI Governance framework. It does not define what is ethical or prescribe specific responsible AI practices. It provides the structural architecture within which those determinations are made, documented, and a</w:t>
      </w:r>
      <w:r>
        <w:t>udited.</w:t>
      </w:r>
    </w:p>
    <w:p w:rsidR="00371045" w:rsidRDefault="00F95A3B">
      <w:pPr>
        <w:pStyle w:val="Heading2"/>
      </w:pPr>
      <w:bookmarkStart w:id="8" w:name="_Toc221056960"/>
      <w:r>
        <w:t>2.4 Theoretical Foundations</w:t>
      </w:r>
      <w:bookmarkEnd w:id="8"/>
    </w:p>
    <w:p w:rsidR="00371045" w:rsidRDefault="00F95A3B">
      <w:pPr>
        <w:spacing w:after="200" w:line="276" w:lineRule="auto"/>
        <w:jc w:val="both"/>
      </w:pPr>
      <w:r>
        <w:t>The architecture draws on two established precedents from intelligence analysis and one existential governance motivation. The Tenth Man Doctrine, derived from the Israeli intelligence community’s response to the failure</w:t>
      </w:r>
      <w:r>
        <w:t xml:space="preserve">s identified by the Agranat Commission (1974) following the Yom Kippur War, requires that when consensus emerges, at least one analyst must argue the contrary position. HAIA-RECCLIN operationalizes this through mandatory multi-platform </w:t>
      </w:r>
      <w:r>
        <w:lastRenderedPageBreak/>
        <w:t>dispatch: if three A</w:t>
      </w:r>
      <w:r>
        <w:t>I platforms converge on identical output, the dissent-preservation protocol surfaces any minority positions rather than suppressing them.</w:t>
      </w:r>
    </w:p>
    <w:p w:rsidR="00371045" w:rsidRDefault="00F95A3B">
      <w:pPr>
        <w:spacing w:after="200" w:line="276" w:lineRule="auto"/>
        <w:ind w:firstLine="720"/>
        <w:jc w:val="both"/>
      </w:pPr>
      <w:r>
        <w:t xml:space="preserve">The Harold Finch Principle, named for the fictional character in </w:t>
      </w:r>
      <w:r>
        <w:rPr>
          <w:i/>
          <w:iCs/>
        </w:rPr>
        <w:t>Person of Interest</w:t>
      </w:r>
      <w:r>
        <w:t xml:space="preserve"> (Nolan &amp; Nolan, 2011-2016) who des</w:t>
      </w:r>
      <w:r>
        <w:t>igned an omniscient surveillance system but deliberately limited his own access to it, provides the existential governance motivation for the architecture. The Principle operates across three dimensions.</w:t>
      </w:r>
    </w:p>
    <w:p w:rsidR="00371045" w:rsidRDefault="00F95A3B">
      <w:pPr>
        <w:spacing w:after="200" w:line="276" w:lineRule="auto"/>
        <w:ind w:firstLine="720"/>
        <w:jc w:val="both"/>
      </w:pPr>
      <w:r>
        <w:t>First, statistical certainty. Hinton’s warning estab</w:t>
      </w:r>
      <w:r>
        <w:t>lishes that someone will build a machine of extraordinary capability. This is not a conditional prediction but a statistical inevitability given the current trajectory of AI development. The relevant governance question is not whether such a machine will b</w:t>
      </w:r>
      <w:r>
        <w:t>e built but under what conditions the builder operates. If the only entities building frontier AI systems are large corporations with overlapping profit incentives and overlapping training data drawn from Western, Educated, Industrialized, Rich, and Democr</w:t>
      </w:r>
      <w:r>
        <w:t>atic (WEIRD) sources, the resulting systems will reflect those incentives and those biases uniformly. Provider plurality combined with government subsidies for independent AI developers, free of corporate influence and free of profit motive, creates the co</w:t>
      </w:r>
      <w:r>
        <w:t>nditions under which a builder with rare understanding of both capability and restraint can emerge. That is the 1 in 100 that Finch represents.</w:t>
      </w:r>
    </w:p>
    <w:p w:rsidR="00371045" w:rsidRDefault="00F95A3B">
      <w:pPr>
        <w:spacing w:after="200" w:line="276" w:lineRule="auto"/>
        <w:ind w:firstLine="720"/>
        <w:jc w:val="both"/>
      </w:pPr>
      <w:r>
        <w:t>Second, dissent guarantee. Under HAIA-RECCLIN’s multi-AI governance architecture, a system built by an independe</w:t>
      </w:r>
      <w:r>
        <w:t>nt developer, trained on different data with different motivations, will produce dissent against corporate models. It sees what profit-aligned models are trained not to see or incentivized to suppress. Provider plurality ensures that voice exists in the pl</w:t>
      </w:r>
      <w:r>
        <w:t>atform pool. The architecture preserves that dissent in full rather than averaging it into consensus.</w:t>
      </w:r>
    </w:p>
    <w:p w:rsidR="00371045" w:rsidRDefault="00F95A3B">
      <w:pPr>
        <w:spacing w:after="200" w:line="276" w:lineRule="auto"/>
        <w:ind w:firstLine="720"/>
        <w:jc w:val="both"/>
      </w:pPr>
      <w:r>
        <w:t>Third, absence-of-dissent as a red flag. The most dangerous signal in multi-platform governance is not disagreement but unanimous consensus. If every plat</w:t>
      </w:r>
      <w:r>
        <w:t>form, trained on overlapping WEIRD corpora and serving overlapping corporate incentives, produces identical output, the human at the checkpoint should treat convergence as a potential failure mode rather than confirmation. The automation bias thresholds op</w:t>
      </w:r>
      <w:r>
        <w:t>erationalize this: sustained agreement without reversal triggers review, not confidence. The Tenth Man Doctrine reinforces the same principle from a different analytical tradition.</w:t>
      </w:r>
    </w:p>
    <w:p w:rsidR="00371045" w:rsidRDefault="00F95A3B">
      <w:pPr>
        <w:spacing w:after="200" w:line="276" w:lineRule="auto"/>
        <w:ind w:firstLine="720"/>
        <w:jc w:val="both"/>
      </w:pPr>
      <w:r>
        <w:t>The groupthink prevention rationale is grounded in Janis’s (1972) foundatio</w:t>
      </w:r>
      <w:r>
        <w:t>nal work on foreign policy decision-making failures, which demonstrated that homogeneous decision-making groups systematically suppress dissent and converge on suboptimal choices. Multi-platform triangulation addresses this at the AI system level by ensuri</w:t>
      </w:r>
      <w:r>
        <w:t>ng that no single platform’s training data, alignment approach, or institutional incentives dominate the output.</w:t>
      </w:r>
    </w:p>
    <w:p w:rsidR="00371045" w:rsidRDefault="00F95A3B">
      <w:r>
        <w:br w:type="page"/>
      </w:r>
    </w:p>
    <w:p w:rsidR="00371045" w:rsidRDefault="00F95A3B">
      <w:pPr>
        <w:pStyle w:val="Heading1"/>
      </w:pPr>
      <w:bookmarkStart w:id="9" w:name="_Toc221056961"/>
      <w:r>
        <w:lastRenderedPageBreak/>
        <w:t>3. Literature Review</w:t>
      </w:r>
      <w:bookmarkEnd w:id="9"/>
    </w:p>
    <w:p w:rsidR="00371045" w:rsidRDefault="00F95A3B">
      <w:pPr>
        <w:pStyle w:val="Heading2"/>
      </w:pPr>
      <w:bookmarkStart w:id="10" w:name="_Toc221056962"/>
      <w:r>
        <w:t>3.1 Automation Bias</w:t>
      </w:r>
      <w:bookmarkEnd w:id="10"/>
    </w:p>
    <w:p w:rsidR="00371045" w:rsidRDefault="00F95A3B">
      <w:pPr>
        <w:spacing w:after="200" w:line="276" w:lineRule="auto"/>
        <w:jc w:val="both"/>
      </w:pPr>
      <w:r>
        <w:t>Automation bias, the tendency for humans to defer to automated recommendations even when those recommendations are incorrect, is among the most extensively documented risks in human-computer interaction. Mosier and Skitka (1996) established the foundationa</w:t>
      </w:r>
      <w:r>
        <w:t>l framework, demonstrating that automation alters human decision-making heuristics in systematic and predictable ways. Parasuraman and Manzey (2010) extended this through their attentional integration model, showing that automation complacency and automati</w:t>
      </w:r>
      <w:r>
        <w:t>on bias are distinct but related phenomena driven by attentional resource allocation. Goddard, Roudsari, and Wyatt (2011) conducted a systematic review documenting the frequency, effect mediators, and mitigating factors of automation bias across domains, c</w:t>
      </w:r>
      <w:r>
        <w:t>onfirming that the phenomenon persists even when users are warned about automation limitations.</w:t>
      </w:r>
    </w:p>
    <w:p w:rsidR="00371045" w:rsidRDefault="00F95A3B">
      <w:pPr>
        <w:spacing w:after="200" w:line="276" w:lineRule="auto"/>
        <w:ind w:firstLine="720"/>
        <w:jc w:val="both"/>
      </w:pPr>
      <w:r>
        <w:t>More recent work has extended automation bias findings into AI-specific contexts. Kreps, Kriner, and Schneider (2024) demonstrated automation bias in national s</w:t>
      </w:r>
      <w:r>
        <w:t>ecurity decision-making, finding that experiential and attitudinal factors moderate but do not eliminate the effect. Navarrete et al. (2024) documented automation bias in criminal justice recidivism algorithms, revealing compounding effects when automation</w:t>
      </w:r>
      <w:r>
        <w:t xml:space="preserve"> bias intersects with existing racial biases. The European Data Protection Supervisor’s TechDispatch #2/2025 (EDPS, 2025) formally recognized that humans systematically defer to AI recommendations under volume pressure, providing institutional validation f</w:t>
      </w:r>
      <w:r>
        <w:t>or threshold-based detection approaches. Banovic et al. (2023) found that AI explanations do not reliably reduce automation bias and in some contexts increase it, undermining the assumption that explainability alone constitutes adequate governance.</w:t>
      </w:r>
    </w:p>
    <w:p w:rsidR="00371045" w:rsidRDefault="00F95A3B">
      <w:pPr>
        <w:spacing w:after="200" w:line="276" w:lineRule="auto"/>
        <w:ind w:firstLine="720"/>
        <w:jc w:val="both"/>
      </w:pPr>
      <w:r>
        <w:t>HAIA-RE</w:t>
      </w:r>
      <w:r>
        <w:t>CCLIN addresses automation bias through a dual mechanism: checkpoint-based human arbitration forces active engagement with every output (preventing passive acceptance), and threshold monitoring tracks approval rates and reversal rates across operational cy</w:t>
      </w:r>
      <w:r>
        <w:t>cles. When approval rates exceed 95% or reversal rates fall below 2% for three consecutive cycles, the system triggers a mandatory sampling audit within five business days. These thresholds were derived from operational experience during production of a 20</w:t>
      </w:r>
      <w:r>
        <w:t>0-page manuscript under full checkpoint governance (Puglisi, 2025) and refined through documented failure mode analysis establishing diagnostic indicators, target validation ranges of 70 to 85 percent, and recovery protocols (HAIA-RECCLIN Multi-AI Framewor</w:t>
      </w:r>
      <w:r>
        <w:t>k, 2026). Three specific failure modes informed threshold calibration: Permissive Drift (approval rates exceeding 95% indicating passive acceptance), Checkpoint Calibration Drift (validation rates exceeding the 70 to 85 percent target range), and Overconfi</w:t>
      </w:r>
      <w:r>
        <w:t xml:space="preserve">dence Detection (sustained high-approval patterns without reversal). The thresholds are operationally validated, not experimentally validated. The architecture requires that organizations calibrate thresholds to their domain, risk profile, and operational </w:t>
      </w:r>
      <w:r>
        <w:t>tempo. Controlled studies across diverse organizational contexts represent a priority for future research.</w:t>
      </w:r>
    </w:p>
    <w:p w:rsidR="00371045" w:rsidRDefault="00F95A3B">
      <w:pPr>
        <w:pStyle w:val="Heading2"/>
      </w:pPr>
      <w:bookmarkStart w:id="11" w:name="_Toc221056963"/>
      <w:r>
        <w:lastRenderedPageBreak/>
        <w:t>3.2 Multi-Agent Governance Frameworks</w:t>
      </w:r>
      <w:bookmarkEnd w:id="11"/>
    </w:p>
    <w:p w:rsidR="00371045" w:rsidRDefault="00F95A3B">
      <w:pPr>
        <w:spacing w:after="200" w:line="276" w:lineRule="auto"/>
        <w:jc w:val="both"/>
      </w:pPr>
      <w:r>
        <w:t>The academic literature on multi-agent governance remains sparse relative to the engineering literature on mult</w:t>
      </w:r>
      <w:r>
        <w:t>i-agent orchestration. Gaurav, Heikkonen, and Chaudhary (2025) proposed Governance-as-a-Service (GaaS), a multi-agent framework for AI system compliance and policy enforcement that addresses runtime policy enforcement and audit trails but does not incorpor</w:t>
      </w:r>
      <w:r>
        <w:t>ate provider plurality or non-cognitive agent design. Pierucci et al. (2026) introduced Institutional AI, a governance-graph approach to distributional AGI safety that operates at the policy layer but does not specify multi-platform rotation or operational</w:t>
      </w:r>
      <w:r>
        <w:t xml:space="preserve"> audit architecture. Bandara et al. (2025) proposed a Consensus-Driven Reasoning Architecture employing a consortium of heterogeneous LLM and VLM agents with multi-model consensus, evidence-backed audit trails, and responsible AI compliance framing, but th</w:t>
      </w:r>
      <w:r>
        <w:t xml:space="preserve">e architecture uses a cognitive Reasoning Agent to govern outputs rather than a non-cognitive dispatcher. Vijayaraghavan et al. (2026) introduced a Team of Rivals Architecture using agents with conflicting roles to reach consensus through message-passing, </w:t>
      </w:r>
      <w:r>
        <w:t>but the Critic agent exercises cognitive veto authority based on reasoning. The Sonate Trust Protocol (Sonate, n.d.) addresses multi-provider orchestration, cryptographic trust receipts, and escalation-style governance controls, but its governance layer pe</w:t>
      </w:r>
      <w:r>
        <w:t>rforms evaluative judgments rather than deterministic dispatch.</w:t>
      </w:r>
    </w:p>
    <w:p w:rsidR="00371045" w:rsidRDefault="00F95A3B">
      <w:pPr>
        <w:spacing w:after="200" w:line="276" w:lineRule="auto"/>
        <w:ind w:firstLine="720"/>
        <w:jc w:val="both"/>
      </w:pPr>
      <w:r>
        <w:t>A structural pattern emerges across all candidates: every framework that addresses the governance gap does so by adding cognition to the orchestrating layer (Reasoning Agents, Governance Engin</w:t>
      </w:r>
      <w:r>
        <w:t>es, Critic Agents, Policy Evaluators). No published framework removes cognition from the orchestrating layer as a deliberate governance and security design choice. This architectural inversion, the non-cognitive agent, represents the primary differentiator</w:t>
      </w:r>
      <w:r>
        <w:t>.</w:t>
      </w:r>
    </w:p>
    <w:p w:rsidR="00371045" w:rsidRDefault="00F95A3B">
      <w:pPr>
        <w:spacing w:after="200" w:line="276" w:lineRule="auto"/>
        <w:ind w:firstLine="720"/>
        <w:jc w:val="both"/>
      </w:pPr>
      <w:r>
        <w:t>The integration gap claim is bounded by the following search methodology. Literature was surveyed across Google Scholar, ACM Digital Library, IEEE Xplore, SSRN, arXiv, and OpenReview using search terms including “multi-AI governance framework,” “multi-ag</w:t>
      </w:r>
      <w:r>
        <w:t>ent governance architecture,” “AI audit trail” combined with “provider plurality,” “non-cognitive agent” combined with “AI governance,” “automation bias detection” combined with “multi-agent,” “AI regulatory compliance framework,” “multi-provider AI orches</w:t>
      </w:r>
      <w:r>
        <w:t>tration” combined with “audit,” and “checkpoint governance AI.” Following multi-platform verification across four independent AI platforms (Gemini, ChatGPT, DeepSeek, Kimi), additional search terms were incorporated: “tamper-evident log” combined with “has</w:t>
      </w:r>
      <w:r>
        <w:t>h-chained receipt,” “deterministic orchestrator,” “policy enforcement layer,” and “governance middleware,” which captured cryptographic governance patterns and orchestration terminology that standard governance-focused searches missed.</w:t>
      </w:r>
    </w:p>
    <w:p w:rsidR="00371045" w:rsidRDefault="00F95A3B">
      <w:pPr>
        <w:spacing w:after="200" w:line="276" w:lineRule="auto"/>
        <w:ind w:firstLine="720"/>
        <w:jc w:val="both"/>
      </w:pPr>
      <w:r>
        <w:t>Inclusion criteria r</w:t>
      </w:r>
      <w:r>
        <w:t>equired that frameworks specify operational architecture (not principles alone), address multi-platform or multi-provider deployment (not single-model governance), and include at least two of the five integration components. Frameworks addressing only ethi</w:t>
      </w:r>
      <w:r>
        <w:t xml:space="preserve">cal principles, only single-model bias testing, or only task orchestration without </w:t>
      </w:r>
      <w:r>
        <w:lastRenderedPageBreak/>
        <w:t>governance accountability were excluded. This claim is defined by the specific combination of these five design choices, not the general goals they serve. Broader definition</w:t>
      </w:r>
      <w:r>
        <w:t>s of governance architecture may reveal partial overlaps through different mechanisms. The author acknowledges that relevant work may exist in unpublished corporate implementations, classified government systems, enterprise vendor documentation not publicl</w:t>
      </w:r>
      <w:r>
        <w:t>y indexed, or publications not captured by the surveyed databases and search terms, and invites correction.</w:t>
      </w:r>
    </w:p>
    <w:p w:rsidR="00371045" w:rsidRDefault="00F95A3B">
      <w:pPr>
        <w:spacing w:before="200" w:after="100"/>
        <w:jc w:val="center"/>
      </w:pPr>
      <w:r>
        <w:rPr>
          <w:b/>
          <w:bCs/>
        </w:rPr>
        <w:t xml:space="preserve">Table 1. </w:t>
      </w:r>
      <w:r>
        <w:rPr>
          <w:i/>
          <w:iCs/>
        </w:rPr>
        <w:t>Integration Component Coverage Across Published Frameworks</w:t>
      </w:r>
    </w:p>
    <w:tbl>
      <w:tblPr>
        <w:tblW w:w="5000" w:type="pct"/>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3"/>
        <w:gridCol w:w="1135"/>
        <w:gridCol w:w="1135"/>
        <w:gridCol w:w="1156"/>
        <w:gridCol w:w="1135"/>
        <w:gridCol w:w="1135"/>
        <w:gridCol w:w="1135"/>
        <w:gridCol w:w="1156"/>
      </w:tblGrid>
      <w:tr w:rsidR="00371045">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2C3E50"/>
            <w:tcMar>
              <w:top w:w="60" w:type="dxa"/>
              <w:left w:w="80" w:type="dxa"/>
              <w:bottom w:w="60" w:type="dxa"/>
              <w:right w:w="80" w:type="dxa"/>
            </w:tcMar>
            <w:vAlign w:val="center"/>
          </w:tcPr>
          <w:p w:rsidR="00371045" w:rsidRDefault="00F95A3B">
            <w:pPr>
              <w:jc w:val="center"/>
            </w:pPr>
            <w:r>
              <w:rPr>
                <w:b/>
                <w:bCs/>
                <w:color w:val="FFFFFF"/>
                <w:sz w:val="18"/>
                <w:szCs w:val="18"/>
              </w:rPr>
              <w:t>Feature</w:t>
            </w:r>
          </w:p>
        </w:tc>
        <w:tc>
          <w:tcPr>
            <w:tcW w:w="1170" w:type="dxa"/>
            <w:tcBorders>
              <w:top w:val="single" w:sz="1" w:space="0" w:color="999999"/>
              <w:left w:val="single" w:sz="1" w:space="0" w:color="999999"/>
              <w:bottom w:val="single" w:sz="1" w:space="0" w:color="999999"/>
              <w:right w:val="single" w:sz="1" w:space="0" w:color="999999"/>
            </w:tcBorders>
            <w:shd w:val="clear" w:color="auto" w:fill="2C3E50"/>
            <w:tcMar>
              <w:top w:w="60" w:type="dxa"/>
              <w:left w:w="80" w:type="dxa"/>
              <w:bottom w:w="60" w:type="dxa"/>
              <w:right w:w="80" w:type="dxa"/>
            </w:tcMar>
            <w:vAlign w:val="center"/>
          </w:tcPr>
          <w:p w:rsidR="00371045" w:rsidRDefault="00F95A3B">
            <w:pPr>
              <w:jc w:val="center"/>
            </w:pPr>
            <w:r>
              <w:rPr>
                <w:b/>
                <w:bCs/>
                <w:color w:val="FFFFFF"/>
                <w:sz w:val="18"/>
                <w:szCs w:val="18"/>
              </w:rPr>
              <w:t>GaaS</w:t>
            </w:r>
          </w:p>
        </w:tc>
        <w:tc>
          <w:tcPr>
            <w:tcW w:w="1170" w:type="dxa"/>
            <w:tcBorders>
              <w:top w:val="single" w:sz="1" w:space="0" w:color="999999"/>
              <w:left w:val="single" w:sz="1" w:space="0" w:color="999999"/>
              <w:bottom w:val="single" w:sz="1" w:space="0" w:color="999999"/>
              <w:right w:val="single" w:sz="1" w:space="0" w:color="999999"/>
            </w:tcBorders>
            <w:shd w:val="clear" w:color="auto" w:fill="2C3E50"/>
            <w:tcMar>
              <w:top w:w="60" w:type="dxa"/>
              <w:left w:w="80" w:type="dxa"/>
              <w:bottom w:w="60" w:type="dxa"/>
              <w:right w:w="80" w:type="dxa"/>
            </w:tcMar>
            <w:vAlign w:val="center"/>
          </w:tcPr>
          <w:p w:rsidR="00371045" w:rsidRDefault="00F95A3B">
            <w:pPr>
              <w:jc w:val="center"/>
            </w:pPr>
            <w:r>
              <w:rPr>
                <w:b/>
                <w:bCs/>
                <w:color w:val="FFFFFF"/>
                <w:sz w:val="18"/>
                <w:szCs w:val="18"/>
              </w:rPr>
              <w:t>Inst. AI</w:t>
            </w:r>
          </w:p>
        </w:tc>
        <w:tc>
          <w:tcPr>
            <w:tcW w:w="1170" w:type="dxa"/>
            <w:tcBorders>
              <w:top w:val="single" w:sz="1" w:space="0" w:color="999999"/>
              <w:left w:val="single" w:sz="1" w:space="0" w:color="999999"/>
              <w:bottom w:val="single" w:sz="1" w:space="0" w:color="999999"/>
              <w:right w:val="single" w:sz="1" w:space="0" w:color="999999"/>
            </w:tcBorders>
            <w:shd w:val="clear" w:color="auto" w:fill="2C3E50"/>
            <w:tcMar>
              <w:top w:w="60" w:type="dxa"/>
              <w:left w:w="80" w:type="dxa"/>
              <w:bottom w:w="60" w:type="dxa"/>
              <w:right w:w="80" w:type="dxa"/>
            </w:tcMar>
            <w:vAlign w:val="center"/>
          </w:tcPr>
          <w:p w:rsidR="00371045" w:rsidRDefault="00F95A3B">
            <w:pPr>
              <w:jc w:val="center"/>
            </w:pPr>
            <w:r>
              <w:rPr>
                <w:b/>
                <w:bCs/>
                <w:color w:val="FFFFFF"/>
                <w:sz w:val="18"/>
                <w:szCs w:val="18"/>
              </w:rPr>
              <w:t>Consensus-Driven</w:t>
            </w:r>
          </w:p>
        </w:tc>
        <w:tc>
          <w:tcPr>
            <w:tcW w:w="1170" w:type="dxa"/>
            <w:tcBorders>
              <w:top w:val="single" w:sz="1" w:space="0" w:color="999999"/>
              <w:left w:val="single" w:sz="1" w:space="0" w:color="999999"/>
              <w:bottom w:val="single" w:sz="1" w:space="0" w:color="999999"/>
              <w:right w:val="single" w:sz="1" w:space="0" w:color="999999"/>
            </w:tcBorders>
            <w:shd w:val="clear" w:color="auto" w:fill="2C3E50"/>
            <w:tcMar>
              <w:top w:w="60" w:type="dxa"/>
              <w:left w:w="80" w:type="dxa"/>
              <w:bottom w:w="60" w:type="dxa"/>
              <w:right w:w="80" w:type="dxa"/>
            </w:tcMar>
            <w:vAlign w:val="center"/>
          </w:tcPr>
          <w:p w:rsidR="00371045" w:rsidRDefault="00F95A3B">
            <w:pPr>
              <w:jc w:val="center"/>
            </w:pPr>
            <w:r>
              <w:rPr>
                <w:b/>
                <w:bCs/>
                <w:color w:val="FFFFFF"/>
                <w:sz w:val="18"/>
                <w:szCs w:val="18"/>
              </w:rPr>
              <w:t>Team of Rivals</w:t>
            </w:r>
          </w:p>
        </w:tc>
        <w:tc>
          <w:tcPr>
            <w:tcW w:w="1170" w:type="dxa"/>
            <w:tcBorders>
              <w:top w:val="single" w:sz="1" w:space="0" w:color="999999"/>
              <w:left w:val="single" w:sz="1" w:space="0" w:color="999999"/>
              <w:bottom w:val="single" w:sz="1" w:space="0" w:color="999999"/>
              <w:right w:val="single" w:sz="1" w:space="0" w:color="999999"/>
            </w:tcBorders>
            <w:shd w:val="clear" w:color="auto" w:fill="2C3E50"/>
            <w:tcMar>
              <w:top w:w="60" w:type="dxa"/>
              <w:left w:w="80" w:type="dxa"/>
              <w:bottom w:w="60" w:type="dxa"/>
              <w:right w:w="80" w:type="dxa"/>
            </w:tcMar>
            <w:vAlign w:val="center"/>
          </w:tcPr>
          <w:p w:rsidR="00371045" w:rsidRDefault="00F95A3B">
            <w:pPr>
              <w:jc w:val="center"/>
            </w:pPr>
            <w:r>
              <w:rPr>
                <w:b/>
                <w:bCs/>
                <w:color w:val="FFFFFF"/>
                <w:sz w:val="18"/>
                <w:szCs w:val="18"/>
              </w:rPr>
              <w:t>Sonate</w:t>
            </w:r>
          </w:p>
        </w:tc>
        <w:tc>
          <w:tcPr>
            <w:tcW w:w="1170" w:type="dxa"/>
            <w:tcBorders>
              <w:top w:val="single" w:sz="1" w:space="0" w:color="999999"/>
              <w:left w:val="single" w:sz="1" w:space="0" w:color="999999"/>
              <w:bottom w:val="single" w:sz="1" w:space="0" w:color="999999"/>
              <w:right w:val="single" w:sz="1" w:space="0" w:color="999999"/>
            </w:tcBorders>
            <w:shd w:val="clear" w:color="auto" w:fill="2C3E50"/>
            <w:tcMar>
              <w:top w:w="60" w:type="dxa"/>
              <w:left w:w="80" w:type="dxa"/>
              <w:bottom w:w="60" w:type="dxa"/>
              <w:right w:w="80" w:type="dxa"/>
            </w:tcMar>
            <w:vAlign w:val="center"/>
          </w:tcPr>
          <w:p w:rsidR="00371045" w:rsidRDefault="00F95A3B">
            <w:pPr>
              <w:jc w:val="center"/>
            </w:pPr>
            <w:r>
              <w:rPr>
                <w:b/>
                <w:bCs/>
                <w:color w:val="FFFFFF"/>
                <w:sz w:val="18"/>
                <w:szCs w:val="18"/>
              </w:rPr>
              <w:t>Orch. Frmwks</w:t>
            </w:r>
          </w:p>
        </w:tc>
        <w:tc>
          <w:tcPr>
            <w:tcW w:w="1170" w:type="dxa"/>
            <w:tcBorders>
              <w:top w:val="single" w:sz="1" w:space="0" w:color="999999"/>
              <w:left w:val="single" w:sz="1" w:space="0" w:color="999999"/>
              <w:bottom w:val="single" w:sz="1" w:space="0" w:color="999999"/>
              <w:right w:val="single" w:sz="1" w:space="0" w:color="999999"/>
            </w:tcBorders>
            <w:shd w:val="clear" w:color="auto" w:fill="2C3E50"/>
            <w:tcMar>
              <w:top w:w="60" w:type="dxa"/>
              <w:left w:w="80" w:type="dxa"/>
              <w:bottom w:w="60" w:type="dxa"/>
              <w:right w:w="80" w:type="dxa"/>
            </w:tcMar>
            <w:vAlign w:val="center"/>
          </w:tcPr>
          <w:p w:rsidR="00371045" w:rsidRDefault="00F95A3B">
            <w:pPr>
              <w:jc w:val="center"/>
            </w:pPr>
            <w:r>
              <w:rPr>
                <w:b/>
                <w:bCs/>
                <w:color w:val="FFFFFF"/>
                <w:sz w:val="18"/>
                <w:szCs w:val="18"/>
              </w:rPr>
              <w:t>HAIA-RECCLIN / GOPEL</w:t>
            </w:r>
          </w:p>
        </w:tc>
      </w:tr>
      <w:tr w:rsidR="00371045">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r>
              <w:rPr>
                <w:b/>
                <w:bCs/>
                <w:sz w:val="18"/>
                <w:szCs w:val="18"/>
              </w:rPr>
              <w:t>Non-cognitive agent design</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b/>
                <w:bCs/>
                <w:sz w:val="18"/>
                <w:szCs w:val="18"/>
              </w:rPr>
              <w:t>Yes</w:t>
            </w:r>
          </w:p>
        </w:tc>
      </w:tr>
      <w:tr w:rsidR="00371045">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r>
              <w:rPr>
                <w:b/>
                <w:bCs/>
                <w:sz w:val="18"/>
                <w:szCs w:val="18"/>
              </w:rPr>
              <w:t>Mandatory provider plurality</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Partial</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Yes</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Yes</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Yes</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Partial</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b/>
                <w:bCs/>
                <w:sz w:val="18"/>
                <w:szCs w:val="18"/>
              </w:rPr>
              <w:t>Yes</w:t>
            </w:r>
          </w:p>
        </w:tc>
      </w:tr>
      <w:tr w:rsidR="00371045">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r>
              <w:rPr>
                <w:b/>
                <w:bCs/>
                <w:sz w:val="18"/>
                <w:szCs w:val="18"/>
              </w:rPr>
              <w:t>Cryptographic audit trail</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Partial</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Partial</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Yes</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Partial</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Yes</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b/>
                <w:bCs/>
                <w:sz w:val="18"/>
                <w:szCs w:val="18"/>
              </w:rPr>
              <w:t>Yes</w:t>
            </w:r>
          </w:p>
        </w:tc>
      </w:tr>
      <w:tr w:rsidR="00371045">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r>
              <w:rPr>
                <w:b/>
                <w:bCs/>
                <w:sz w:val="18"/>
                <w:szCs w:val="18"/>
              </w:rPr>
              <w:t>Automation bias detection</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Partial</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b/>
                <w:bCs/>
                <w:sz w:val="18"/>
                <w:szCs w:val="18"/>
              </w:rPr>
              <w:t>Yes</w:t>
            </w:r>
          </w:p>
        </w:tc>
      </w:tr>
      <w:tr w:rsidR="00371045">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r>
              <w:rPr>
                <w:b/>
                <w:bCs/>
                <w:sz w:val="18"/>
                <w:szCs w:val="18"/>
              </w:rPr>
              <w:t>Regulatory compliance mapping</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Partial</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Partial</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Partial</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Partial</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Partial</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sz w:val="18"/>
                <w:szCs w:val="18"/>
              </w:rPr>
              <w:t>No</w:t>
            </w:r>
          </w:p>
        </w:tc>
        <w:tc>
          <w:tcPr>
            <w:tcW w:w="1170" w:type="dxa"/>
            <w:tcBorders>
              <w:top w:val="single" w:sz="1" w:space="0" w:color="999999"/>
              <w:left w:val="single" w:sz="1" w:space="0" w:color="999999"/>
              <w:bottom w:val="single" w:sz="1" w:space="0" w:color="999999"/>
              <w:right w:val="single" w:sz="1" w:space="0" w:color="999999"/>
            </w:tcBorders>
            <w:shd w:val="clear" w:color="auto" w:fill="F2F2F2"/>
            <w:tcMar>
              <w:top w:w="60" w:type="dxa"/>
              <w:left w:w="80" w:type="dxa"/>
              <w:bottom w:w="60" w:type="dxa"/>
              <w:right w:w="80" w:type="dxa"/>
            </w:tcMar>
          </w:tcPr>
          <w:p w:rsidR="00371045" w:rsidRDefault="00F95A3B">
            <w:pPr>
              <w:jc w:val="center"/>
            </w:pPr>
            <w:r>
              <w:rPr>
                <w:b/>
                <w:bCs/>
                <w:sz w:val="18"/>
                <w:szCs w:val="18"/>
              </w:rPr>
              <w:t>Yes</w:t>
            </w:r>
          </w:p>
        </w:tc>
      </w:tr>
      <w:tr w:rsidR="00371045">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r>
              <w:rPr>
                <w:b/>
                <w:bCs/>
                <w:sz w:val="18"/>
                <w:szCs w:val="18"/>
              </w:rPr>
              <w:t>Human checkpoint authority</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Not specified</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Not specified</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Not specified</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Not specified</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Not specified</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sz w:val="18"/>
                <w:szCs w:val="18"/>
              </w:rPr>
              <w:t>Not specified</w:t>
            </w:r>
          </w:p>
        </w:tc>
        <w:tc>
          <w:tcPr>
            <w:tcW w:w="1170" w:type="dxa"/>
            <w:tcBorders>
              <w:top w:val="single" w:sz="1" w:space="0" w:color="999999"/>
              <w:left w:val="single" w:sz="1" w:space="0" w:color="999999"/>
              <w:bottom w:val="single" w:sz="1" w:space="0" w:color="999999"/>
              <w:right w:val="single" w:sz="1" w:space="0" w:color="999999"/>
            </w:tcBorders>
            <w:tcMar>
              <w:top w:w="60" w:type="dxa"/>
              <w:left w:w="80" w:type="dxa"/>
              <w:bottom w:w="60" w:type="dxa"/>
              <w:right w:w="80" w:type="dxa"/>
            </w:tcMar>
          </w:tcPr>
          <w:p w:rsidR="00371045" w:rsidRDefault="00F95A3B">
            <w:pPr>
              <w:jc w:val="center"/>
            </w:pPr>
            <w:r>
              <w:rPr>
                <w:b/>
                <w:bCs/>
                <w:sz w:val="18"/>
                <w:szCs w:val="18"/>
              </w:rPr>
              <w:t>Mandatory</w:t>
            </w:r>
          </w:p>
        </w:tc>
      </w:tr>
    </w:tbl>
    <w:p w:rsidR="00371045" w:rsidRDefault="00F95A3B">
      <w:pPr>
        <w:spacing w:before="100" w:after="200"/>
      </w:pPr>
      <w:r>
        <w:rPr>
          <w:i/>
          <w:iCs/>
          <w:sz w:val="20"/>
          <w:szCs w:val="20"/>
        </w:rPr>
        <w:t>Note. “No” indicates that the feature is not specified in the published framework as reviewed. It does not indicate that the framework explicitly excludes the feature or that future versions could not incorporate it. Assessments are based on published docu</w:t>
      </w:r>
      <w:r>
        <w:rPr>
          <w:i/>
          <w:iCs/>
          <w:sz w:val="20"/>
          <w:szCs w:val="20"/>
        </w:rPr>
        <w:t>mentation available as of February 2026. *These frameworks employ cognitive orchestrating layers (Reasoning Agents, Governance Engines, Critic Agents, or Policy Evaluators), which is architecturally distinct from HAIA-RECCLIN’s non-cognitive constraint. “O</w:t>
      </w:r>
      <w:r>
        <w:rPr>
          <w:i/>
          <w:iCs/>
          <w:sz w:val="20"/>
          <w:szCs w:val="20"/>
        </w:rPr>
        <w:t>rch. Frmwks” refers to LangGraph, AutoGen, and CrewAI.</w:t>
      </w:r>
    </w:p>
    <w:p w:rsidR="00371045" w:rsidRDefault="00F95A3B">
      <w:pPr>
        <w:pStyle w:val="Heading2"/>
      </w:pPr>
      <w:bookmarkStart w:id="12" w:name="_Toc221056964"/>
      <w:r>
        <w:t>3.3 Non-Cognitive Agent Design</w:t>
      </w:r>
      <w:bookmarkEnd w:id="12"/>
    </w:p>
    <w:p w:rsidR="00371045" w:rsidRDefault="00F95A3B">
      <w:pPr>
        <w:spacing w:after="200" w:line="276" w:lineRule="auto"/>
        <w:jc w:val="both"/>
      </w:pPr>
      <w:r>
        <w:t>The concept of deliberately limiting an AI agent’s cognitive capabilities as a governance and security measure is notably absent from the academic literature. The prevail</w:t>
      </w:r>
      <w:r>
        <w:t>ing trajectory in agent design is toward greater autonomy, richer reasoning, and expanded decision-making authority. HAIA-RECCLIN inverts this trajectory by specifying an agent that performs zero cognitive operations: it dispatches identical prompts to mul</w:t>
      </w:r>
      <w:r>
        <w:t>tiple platforms via their APIs, collects all responses without evaluation, routes responses to a designated Navigator for synthesis, delivers synthesized output to the human operator, and logs every step. It is, architecturally, a pipe with a logbook.</w:t>
      </w:r>
    </w:p>
    <w:p w:rsidR="00371045" w:rsidRDefault="00F95A3B">
      <w:pPr>
        <w:spacing w:after="200" w:line="276" w:lineRule="auto"/>
        <w:ind w:firstLine="720"/>
        <w:jc w:val="both"/>
      </w:pPr>
      <w:r>
        <w:t xml:space="preserve">For </w:t>
      </w:r>
      <w:r>
        <w:t>the purposes of this architecture, cognitive operations are defined as evaluation, ranking, weighting, prioritization, summarization, semantic transformation, and filtering. Non-cognitive operations are defined as API dispatch, response collection, hash co</w:t>
      </w:r>
      <w:r>
        <w:t xml:space="preserve">mputation, </w:t>
      </w:r>
      <w:r>
        <w:lastRenderedPageBreak/>
        <w:t>timestamp generation, record appending, threshold counting, and error reporting. The boundary between cognitive and non-cognitive is acknowledged as a design choice rather than a philosophical claim. Threshold counting, for example, involves min</w:t>
      </w:r>
      <w:r>
        <w:t>imal rule-based evaluation but is classified as non-cognitive because it is deterministic, fully auditable, and requires no semantic interpretation of platform output. The critical constraint is that the agent never evaluates, ranks, or filters the substan</w:t>
      </w:r>
      <w:r>
        <w:t>ce of platform output.</w:t>
      </w:r>
    </w:p>
    <w:p w:rsidR="00371045" w:rsidRDefault="00F95A3B">
      <w:pPr>
        <w:spacing w:after="200" w:line="276" w:lineRule="auto"/>
        <w:ind w:firstLine="720"/>
        <w:jc w:val="both"/>
      </w:pPr>
      <w:r>
        <w:t>The security rationale is straightforward: if the orchestrating agent cannot evaluate content, it cannot be manipulated through adversarial inputs, prompt injection, or model poisoning. The attack surface is reduced to message transp</w:t>
      </w:r>
      <w:r>
        <w:t>ort and logging, both of which are deterministic operations amenable to formal verification. Industry practitioners have begun exploring related concepts. Mallaband (2025) discussed deterministic guardrails for non-deterministic agents, and the broader con</w:t>
      </w:r>
      <w:r>
        <w:t>versation around agent safety properties (arXiv 2510.14133, 2025) addresses formal verification of agent behavior. However, the deliberate design of a governance agent as non-cognitive, not merely constrained but fundamentally incapable of cognition, repre</w:t>
      </w:r>
      <w:r>
        <w:t>sents a novel architectural choice that the literature has not systematically explored.</w:t>
      </w:r>
    </w:p>
    <w:p w:rsidR="00371045" w:rsidRDefault="00F95A3B">
      <w:pPr>
        <w:pStyle w:val="Heading2"/>
      </w:pPr>
      <w:bookmarkStart w:id="13" w:name="_Toc221056965"/>
      <w:r>
        <w:t>3.4 Audit Trail Architecture</w:t>
      </w:r>
      <w:bookmarkEnd w:id="13"/>
    </w:p>
    <w:p w:rsidR="00371045" w:rsidRDefault="00F95A3B">
      <w:pPr>
        <w:spacing w:after="200" w:line="276" w:lineRule="auto"/>
        <w:jc w:val="both"/>
      </w:pPr>
      <w:r>
        <w:t>The EU AI Act Article 12 mandates automatic recording of events (logging) for high-risk AI systems, with logs maintained for a period appro</w:t>
      </w:r>
      <w:r>
        <w:t>priate to the intended purpose of the system (European Union, 2024). ISO 42001 requires documented information supporting the AI management system, including records of decisions and their rationales. NIST AI RMF emphasizes traceability as a characteristic</w:t>
      </w:r>
      <w:r>
        <w:t xml:space="preserve"> of trustworthy AI.</w:t>
      </w:r>
    </w:p>
    <w:p w:rsidR="00371045" w:rsidRDefault="00F95A3B">
      <w:pPr>
        <w:spacing w:after="200" w:line="276" w:lineRule="auto"/>
        <w:ind w:firstLine="720"/>
        <w:jc w:val="both"/>
      </w:pPr>
      <w:r>
        <w:t>Technical approaches to tamper-evident logging have advanced significantly. Zhao et al. (2025) presented a high-performance, co-designed auditing system achieving 10x to 25x performance improvement over existing tamper-evident logging a</w:t>
      </w:r>
      <w:r>
        <w:t>pproaches, accepted at ACM CCS 2025. Di Vita et al. (2025) demonstrated cryptographic safety envelopes for table-centric LLM pipelines using tamper-evident records for allow-deny decisions. The VeritasChain Verifiable Compliance Protocol (VCP v1.1) demonst</w:t>
      </w:r>
      <w:r>
        <w:t>rates cryptographic hash chains and Merkle trees for EU AI Act compliance (VeritasChain, 2026). HAIA-RECCLIN specifies six audit record types (Request, Dispatch, Response, Navigation, Arbitration, System), each with timestamp, operator identity, and crypto</w:t>
      </w:r>
      <w:r>
        <w:t>graphic hash chaining to the previous record. The specification defines governance requirements (append-only, tamper-evident, cryptographically signed) without prescribing storage implementation, allowing organizations to select appropriate tools (flat fil</w:t>
      </w:r>
      <w:r>
        <w:t>es, relational databases, blockchain, time-series databases) based on their operational context.</w:t>
      </w:r>
    </w:p>
    <w:p w:rsidR="00371045" w:rsidRDefault="00F95A3B">
      <w:pPr>
        <w:pStyle w:val="Heading2"/>
      </w:pPr>
      <w:bookmarkStart w:id="14" w:name="_Toc221056966"/>
      <w:r>
        <w:t>3.5 Provider Plurality and AI Antitrust</w:t>
      </w:r>
      <w:bookmarkEnd w:id="14"/>
    </w:p>
    <w:p w:rsidR="00371045" w:rsidRDefault="00F95A3B">
      <w:pPr>
        <w:spacing w:after="200" w:line="276" w:lineRule="auto"/>
        <w:jc w:val="both"/>
      </w:pPr>
      <w:r>
        <w:lastRenderedPageBreak/>
        <w:t>Narechania and Sitaraman (2024), writing in the Yale Law and Policy Review, provided a comprehensive antimonopoly analysis of AI’s four-layer stack (data, compute, model, application), arguing that concentration at any layer creates systemic governance ris</w:t>
      </w:r>
      <w:r>
        <w:t>ks. The Federation of American Scientists (2025) documented increasing concentration among a small number of AI providers, raising antitrust concerns that parallel historical telecommunications and platform monopoly debates grounded in the Sherman Act (189</w:t>
      </w:r>
      <w:r>
        <w:t>0) and Clayton Act (1914).</w:t>
      </w:r>
    </w:p>
    <w:p w:rsidR="00371045" w:rsidRDefault="00F95A3B">
      <w:pPr>
        <w:spacing w:after="200" w:line="276" w:lineRule="auto"/>
        <w:ind w:firstLine="720"/>
        <w:jc w:val="both"/>
      </w:pPr>
      <w:r>
        <w:t>Shur-Ofry (2023) proposed multiplicity as an AI governance principle, arguing that diverse AI approaches reduce the risk of correlated failures. Heim et al. (2024) analyzed compute providers as intermediary governance points, dem</w:t>
      </w:r>
      <w:r>
        <w:t>onstrating that cloud infrastructure concentration creates regulatory leverage points but also single points of failure.</w:t>
      </w:r>
    </w:p>
    <w:p w:rsidR="00371045" w:rsidRDefault="00F95A3B">
      <w:pPr>
        <w:spacing w:after="200" w:line="276" w:lineRule="auto"/>
        <w:ind w:firstLine="720"/>
        <w:jc w:val="both"/>
      </w:pPr>
      <w:r>
        <w:t>HAIA-RECCLIN operationalizes provider plurality through an anchor-plus-rotation-pool protocol. A designated anchor platform provides co</w:t>
      </w:r>
      <w:r>
        <w:t xml:space="preserve">nsistency across tasks, while rotation pool platforms are selected per task from a configurable pool, ensuring that no single provider’s training data, alignment approach, or institutional incentives dominate outputs. The rotation protocol is a governance </w:t>
      </w:r>
      <w:r>
        <w:t>decision: changing the rotation pool requires checkpoint approval, arbiter identity, and timestamp documentation in the audit trail.</w:t>
      </w:r>
    </w:p>
    <w:p w:rsidR="00371045" w:rsidRDefault="00F95A3B">
      <w:pPr>
        <w:pStyle w:val="Heading2"/>
      </w:pPr>
      <w:bookmarkStart w:id="15" w:name="_Toc221056967"/>
      <w:r>
        <w:t>3.6 WEIRD Bias in AI Training Data</w:t>
      </w:r>
      <w:bookmarkEnd w:id="15"/>
    </w:p>
    <w:p w:rsidR="00371045" w:rsidRDefault="00F95A3B">
      <w:pPr>
        <w:spacing w:after="200" w:line="276" w:lineRule="auto"/>
        <w:jc w:val="both"/>
      </w:pPr>
      <w:r>
        <w:t>Henrich, Heine, and Norenzayan (2010), in what has become one of the most cited papers i</w:t>
      </w:r>
      <w:r>
        <w:t>n behavioral science (over 19,000 citations), demonstrated that research populations overwhelmingly represent Western, Educated, Industrialized, Rich, and Democratic (WEIRD) societies, producing findings that may not generalize to the majority of the world</w:t>
      </w:r>
      <w:r>
        <w:t>’s population. Henrich et al. (2024) extended this framework specifically to large language models, finding that LLM responses systematically reflect WEIRD cultural assumptions. Tao et al. (2024), publishing in PNAS Nexus, confirmed cultural bias and cultu</w:t>
      </w:r>
      <w:r>
        <w:t>ral alignment patterns in large language models. Georgia Tech researchers (2024) demonstrated that LLMs generate Western bias even when trained with non-Western languages, suggesting the bias is embedded in training data curation rather than linguistic enc</w:t>
      </w:r>
      <w:r>
        <w:t>oding.</w:t>
      </w:r>
    </w:p>
    <w:p w:rsidR="00371045" w:rsidRDefault="00F95A3B">
      <w:pPr>
        <w:spacing w:after="200" w:line="276" w:lineRule="auto"/>
        <w:ind w:firstLine="720"/>
        <w:jc w:val="both"/>
      </w:pPr>
      <w:r>
        <w:t>This body of work establishes a fundamental limitation of multi-platform triangulation: if all platforms in the rotation pool are trained on overlapping WEIRD-biased corpora, provider plurality cannot detect biases shared across platforms. HAIA-RECCLIN ack</w:t>
      </w:r>
      <w:r>
        <w:t xml:space="preserve">nowledges this limitation explicitly and identifies it as a structural boundary of the framework rather than a solvable engineering problem. The specification recommends ongoing monitoring for correlated platform blind spots and recognizes that governance </w:t>
      </w:r>
      <w:r>
        <w:t>architecture alone cannot remedy training data homogeneity.</w:t>
      </w:r>
    </w:p>
    <w:p w:rsidR="00371045" w:rsidRDefault="00F95A3B">
      <w:r>
        <w:br w:type="page"/>
      </w:r>
    </w:p>
    <w:p w:rsidR="00371045" w:rsidRDefault="00F95A3B">
      <w:pPr>
        <w:pStyle w:val="Heading1"/>
      </w:pPr>
      <w:bookmarkStart w:id="16" w:name="_Toc221056968"/>
      <w:r>
        <w:lastRenderedPageBreak/>
        <w:t>4. The HAIA-RECCLIN Architecture</w:t>
      </w:r>
      <w:bookmarkEnd w:id="16"/>
    </w:p>
    <w:p w:rsidR="00371045" w:rsidRDefault="00F95A3B">
      <w:pPr>
        <w:spacing w:before="200" w:after="100"/>
        <w:jc w:val="center"/>
      </w:pPr>
      <w:r>
        <w:rPr>
          <w:noProof/>
        </w:rPr>
        <w:drawing>
          <wp:inline distT="0" distB="0" distL="0" distR="0">
            <wp:extent cx="3619500" cy="5429250"/>
            <wp:effectExtent l="0" t="0" r="0" b="0"/>
            <wp:docPr id="1" name="HAIA-RECCLIN-Figure1" descr="HAIA-RECCLIN Operational Flow diagram showing Human Operator, Non-Cognitive Agent, Platform dispatch, Navigator synthesis, and Human Checkpoint with Append-Only Audit Trai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5429250"/>
                    </a:xfrm>
                    <a:prstGeom prst="rect">
                      <a:avLst/>
                    </a:prstGeom>
                  </pic:spPr>
                </pic:pic>
              </a:graphicData>
            </a:graphic>
          </wp:inline>
        </w:drawing>
      </w:r>
    </w:p>
    <w:p w:rsidR="00371045" w:rsidRDefault="00F95A3B">
      <w:pPr>
        <w:spacing w:before="100" w:after="200"/>
        <w:jc w:val="center"/>
      </w:pPr>
      <w:r>
        <w:rPr>
          <w:b/>
          <w:bCs/>
        </w:rPr>
        <w:t xml:space="preserve">Figure 1. </w:t>
      </w:r>
      <w:r>
        <w:rPr>
          <w:i/>
          <w:iCs/>
        </w:rPr>
        <w:t>HAIA-RECCLIN operational flow. The non-cognitive agent dispatches identical prompts to multiple independent AI platforms, collects all responses with</w:t>
      </w:r>
      <w:r>
        <w:rPr>
          <w:i/>
          <w:iCs/>
        </w:rPr>
        <w:t>out evaluation, routes to the Navigator for synthesis with dissent preservation, and delivers to the human at a governed checkpoint. The append-only audit trail records every operation. The agent performs zero cognitive work.</w:t>
      </w:r>
    </w:p>
    <w:p w:rsidR="00371045" w:rsidRDefault="00F95A3B">
      <w:pPr>
        <w:pStyle w:val="Heading2"/>
      </w:pPr>
      <w:bookmarkStart w:id="17" w:name="_Toc221056969"/>
      <w:r>
        <w:t>4.1 Functional Roles</w:t>
      </w:r>
      <w:bookmarkEnd w:id="17"/>
    </w:p>
    <w:p w:rsidR="00371045" w:rsidRDefault="00F95A3B">
      <w:pPr>
        <w:spacing w:after="200" w:line="276" w:lineRule="auto"/>
        <w:jc w:val="both"/>
      </w:pPr>
      <w:r>
        <w:t>HAIA-RECC</w:t>
      </w:r>
      <w:r>
        <w:t>LIN defines seven functional roles, each representing a distinct cognitive operation that the human assigns to AI platforms through the agent. The Researcher gathers sources, verifies facts, and collects evidence. The Editor refines structure, clarity, con</w:t>
      </w:r>
      <w:r>
        <w:t xml:space="preserve">sistency, and audience adaptation. The Coder writes, reviews, and debugs code. The Calculator performs mathematical analysis, quantitative modeling, and data processing. The Liaison coordinates </w:t>
      </w:r>
      <w:r>
        <w:lastRenderedPageBreak/>
        <w:t>perspectives and stakeholder communication. The Ideator genera</w:t>
      </w:r>
      <w:r>
        <w:t>tes creative options and novel approaches. The Navigator synthesizes multi-platform outputs with mandatory dissent preservation, presenting trade-offs without forced resolution.</w:t>
      </w:r>
    </w:p>
    <w:p w:rsidR="00371045" w:rsidRDefault="00F95A3B">
      <w:pPr>
        <w:spacing w:after="200" w:line="276" w:lineRule="auto"/>
        <w:ind w:firstLine="720"/>
        <w:jc w:val="both"/>
      </w:pPr>
      <w:r>
        <w:t>Role assignment is a human governance decision, not an agent determination. Th</w:t>
      </w:r>
      <w:r>
        <w:t>e human operator specifies which role applies to each task. The agent dispatches accordingly. This separation ensures that the scope and nature of each AI interaction is determined by human judgment rather than automated classification.</w:t>
      </w:r>
    </w:p>
    <w:p w:rsidR="00371045" w:rsidRDefault="00F95A3B">
      <w:pPr>
        <w:pStyle w:val="Heading2"/>
      </w:pPr>
      <w:bookmarkStart w:id="18" w:name="_Toc221056970"/>
      <w:r>
        <w:t>4.2 Three Operating</w:t>
      </w:r>
      <w:r>
        <w:t xml:space="preserve"> Models</w:t>
      </w:r>
      <w:bookmarkEnd w:id="18"/>
    </w:p>
    <w:p w:rsidR="00371045" w:rsidRDefault="00F95A3B">
      <w:pPr>
        <w:spacing w:after="200" w:line="276" w:lineRule="auto"/>
        <w:jc w:val="both"/>
      </w:pPr>
      <w:r>
        <w:t>The architecture defines three operating models that scale governance intensity to match organizational risk tolerance and operational context.</w:t>
      </w:r>
    </w:p>
    <w:p w:rsidR="00371045" w:rsidRDefault="00F95A3B">
      <w:pPr>
        <w:spacing w:after="200" w:line="276" w:lineRule="auto"/>
        <w:ind w:firstLine="720"/>
        <w:jc w:val="both"/>
      </w:pPr>
      <w:r>
        <w:t>Operating Model 1, designated Responsible AI (Factory Quality), provides the minimum viable governance f</w:t>
      </w:r>
      <w:r>
        <w:t>or high-volume operations. The agent dispatches tasks to multiple platforms, collects responses, routes to the Navigator for synthesis, and delivers the final output to the human with a single approval gate at the endpoint. The human reviews the synthesize</w:t>
      </w:r>
      <w:r>
        <w:t>d output and approves, rejects, or modifies. This model is designed for organizations that need provider plurality and audit trails at operational speed. It is not designed to be fast. It is designed to be governed.</w:t>
      </w:r>
    </w:p>
    <w:p w:rsidR="00371045" w:rsidRDefault="00F95A3B">
      <w:pPr>
        <w:spacing w:after="200" w:line="276" w:lineRule="auto"/>
        <w:ind w:firstLine="720"/>
        <w:jc w:val="both"/>
      </w:pPr>
      <w:r>
        <w:t>Operating Model 2, designated AI Governa</w:t>
      </w:r>
      <w:r>
        <w:t>nce (Handmade Quality), provides full human arbitration at every checkpoint. The agent pauses after every functional role execution, requiring human review and approval before proceeding to the next step. This model is designed for high-stakes decisions wh</w:t>
      </w:r>
      <w:r>
        <w:t>ere the cost of an undetected error exceeds the cost of deliberate human engagement at every stage. Model 2 will not scale well or fast, and that is by design. It is the standard for having a governor. Governance has a cost. Model selection maps to risk.</w:t>
      </w:r>
    </w:p>
    <w:p w:rsidR="00371045" w:rsidRDefault="00F95A3B">
      <w:pPr>
        <w:spacing w:after="200" w:line="276" w:lineRule="auto"/>
        <w:ind w:firstLine="720"/>
        <w:jc w:val="both"/>
      </w:pPr>
      <w:r>
        <w:t>O</w:t>
      </w:r>
      <w:r>
        <w:t xml:space="preserve">perating Model 3, designated AI Governance (Evidence Standard), eliminates agent automation entirely. The platform provides the interface for the human to manually dispatch to each platform, manually collect responses, and manually route to the Navigator. </w:t>
      </w:r>
      <w:r>
        <w:t>The agent only logs. This model produces the highest-fidelity evidence trail because every action is directly attributable to a named human operator.</w:t>
      </w:r>
    </w:p>
    <w:p w:rsidR="00371045" w:rsidRDefault="00F95A3B">
      <w:pPr>
        <w:pStyle w:val="Heading2"/>
      </w:pPr>
      <w:bookmarkStart w:id="19" w:name="_Toc221056971"/>
      <w:r>
        <w:t>4.3 Non-Cognitive Agent Design</w:t>
      </w:r>
      <w:bookmarkEnd w:id="19"/>
    </w:p>
    <w:p w:rsidR="00371045" w:rsidRDefault="00F95A3B">
      <w:pPr>
        <w:spacing w:after="200" w:line="276" w:lineRule="auto"/>
        <w:jc w:val="both"/>
      </w:pPr>
      <w:r>
        <w:t>The agent is non-cognitive with security features. It is defined as a deter</w:t>
      </w:r>
      <w:r>
        <w:t>ministic dispatcher that performs the following operations and no others: receive task from human (including role assignment and model selection), dispatch identical prompts to selected platforms via API, collect all responses without evaluation, route res</w:t>
      </w:r>
      <w:r>
        <w:t xml:space="preserve">ponses to Navigator for synthesis, deliver synthesis to human at designated checkpoints, write audit records for every operation, and track automation bias metrics (approval rates, reversal rates). The agent does not summarize, </w:t>
      </w:r>
      <w:r>
        <w:lastRenderedPageBreak/>
        <w:t>prioritize, filter, rank, or</w:t>
      </w:r>
      <w:r>
        <w:t xml:space="preserve"> evaluate any content. If a platform returns an error, the agent logs the error and reports it. It does not substitute, retry with modifications, or compensate. The security architecture includes code integrity hashing (every component verified against kno</w:t>
      </w:r>
      <w:r>
        <w:t>wn-good hashes before execution), separation of duties (deployment approval separate from code modification), immutable deployment (no runtime code changes permitted), and identity verification on every human action.</w:t>
      </w:r>
    </w:p>
    <w:p w:rsidR="00371045" w:rsidRDefault="00F95A3B">
      <w:pPr>
        <w:spacing w:after="200" w:line="276" w:lineRule="auto"/>
        <w:ind w:firstLine="720"/>
        <w:jc w:val="both"/>
      </w:pPr>
      <w:r>
        <w:t>The non-cognitive agent specified in th</w:t>
      </w:r>
      <w:r>
        <w:t>is architecture is under preliminary development as HAIA-GOPEL (Governance Orchestrator Policy Enforcement Layer). The name reflects a deliberate terminological bridge: “governance orchestrator” and “policy enforcement layer” are terms used across existing</w:t>
      </w:r>
      <w:r>
        <w:t xml:space="preserve"> frameworks (Gaurav et al., 2025; Sonate, n.d.; Di Vita et al., 2025), but in those implementations the orchestrating layer performs cognitive evaluation, content filtering, or policy-based decision-making. HAIA-GOPEL is architecturally distinguished by it</w:t>
      </w:r>
      <w:r>
        <w:t xml:space="preserve">s non-cognitive constraint: it performs orchestration and policy enforcement through deterministic dispatch, collection, routing, logging, and threshold counting, without evaluating, ranking, weighting, or semantically transforming any content that passes </w:t>
      </w:r>
      <w:r>
        <w:t>through it. The development designation signals that the specification described in this paper is intended to produce an implementable system, not remain a theoretical contribution. Implementation details, including API specifications, security architectur</w:t>
      </w:r>
      <w:r>
        <w:t>e, and deployment requirements, will be documented separately as development progresses.</w:t>
      </w:r>
    </w:p>
    <w:p w:rsidR="00371045" w:rsidRDefault="00F95A3B">
      <w:pPr>
        <w:pStyle w:val="Heading2"/>
      </w:pPr>
      <w:bookmarkStart w:id="20" w:name="_Toc221056972"/>
      <w:r>
        <w:t>4.4 Provider Plurality Protocol</w:t>
      </w:r>
      <w:bookmarkEnd w:id="20"/>
    </w:p>
    <w:p w:rsidR="00371045" w:rsidRDefault="00F95A3B">
      <w:pPr>
        <w:spacing w:after="200" w:line="276" w:lineRule="auto"/>
        <w:jc w:val="both"/>
      </w:pPr>
      <w:r>
        <w:t>Each task is dispatched to a minimum of three independent AI platforms: one anchor and at least two rotation pool members. The anchor p</w:t>
      </w:r>
      <w:r>
        <w:t>rovides longitudinal consistency. Rotation pool members are selected per task from a configurable pool of approved providers. The identical prompt is sent to all selected platforms. No platform receives a modified, summarized, or adapted version of the pro</w:t>
      </w:r>
      <w:r>
        <w:t>mpt.</w:t>
      </w:r>
    </w:p>
    <w:p w:rsidR="00371045" w:rsidRDefault="00F95A3B">
      <w:pPr>
        <w:spacing w:after="200" w:line="276" w:lineRule="auto"/>
        <w:ind w:firstLine="720"/>
        <w:jc w:val="both"/>
      </w:pPr>
      <w:r>
        <w:t>The Navigator (a designated platform, currently Claude based on demonstrated synthesis capability) receives all platform responses and produces a structured synthesis that identifies convergence (where platforms agree), divergence (where platforms dis</w:t>
      </w:r>
      <w:r>
        <w:t>agree), and preserved dissent (minority positions documented in full rather than suppressed). The Navigator does not resolve disagreements. It presents them. Resolution is a human governance decision.</w:t>
      </w:r>
    </w:p>
    <w:p w:rsidR="00371045" w:rsidRDefault="00F95A3B">
      <w:pPr>
        <w:pStyle w:val="Heading2"/>
      </w:pPr>
      <w:bookmarkStart w:id="21" w:name="_Toc221056973"/>
      <w:r>
        <w:t>4.5 Audit Trail Architecture</w:t>
      </w:r>
      <w:bookmarkEnd w:id="21"/>
    </w:p>
    <w:p w:rsidR="00371045" w:rsidRDefault="00F95A3B">
      <w:pPr>
        <w:spacing w:after="200" w:line="276" w:lineRule="auto"/>
        <w:jc w:val="both"/>
      </w:pPr>
      <w:r>
        <w:t>The audit trail consists o</w:t>
      </w:r>
      <w:r>
        <w:t xml:space="preserve">f six record types. Request Records document the human’s task submission including role assignment, model selection, and full prompt text. Dispatch Records document each platform API call including timestamp, platform identifier, prompt hash, and response </w:t>
      </w:r>
      <w:r>
        <w:t>status. Response Records document each platform’s complete response including content hash and metadata. Navigation Records document the Navigator’s synthesis including convergence mapping, divergence identification, and dissent preservation. Arbitration R</w:t>
      </w:r>
      <w:r>
        <w:t xml:space="preserve">ecords </w:t>
      </w:r>
      <w:r>
        <w:lastRenderedPageBreak/>
        <w:t>document the human’s decision at each checkpoint including approve, reject, or modify with rationale. System Records document operational events including errors, threshold alerts, and configuration changes.</w:t>
      </w:r>
    </w:p>
    <w:p w:rsidR="00371045" w:rsidRDefault="00F95A3B">
      <w:pPr>
        <w:spacing w:after="200" w:line="276" w:lineRule="auto"/>
        <w:ind w:firstLine="720"/>
        <w:jc w:val="both"/>
      </w:pPr>
      <w:r>
        <w:t>Every record includes a timestamp, operat</w:t>
      </w:r>
      <w:r>
        <w:t>or or system identity, and cryptographic hash chaining to the previous record. The audit trail is append-only: no records may be modified or deleted. The specification defines these governance requirements without prescribing storage implementation. Organi</w:t>
      </w:r>
      <w:r>
        <w:t>zations select appropriate storage based on their operational context and compliance requirements.</w:t>
      </w:r>
    </w:p>
    <w:p w:rsidR="00371045" w:rsidRDefault="00F95A3B">
      <w:r>
        <w:br w:type="page"/>
      </w:r>
    </w:p>
    <w:p w:rsidR="00371045" w:rsidRDefault="00F95A3B">
      <w:pPr>
        <w:pStyle w:val="Heading1"/>
      </w:pPr>
      <w:bookmarkStart w:id="22" w:name="_Toc221056974"/>
      <w:r>
        <w:lastRenderedPageBreak/>
        <w:t>5. Evaluation: Operational Evidence</w:t>
      </w:r>
      <w:bookmarkEnd w:id="22"/>
    </w:p>
    <w:p w:rsidR="00371045" w:rsidRDefault="00F95A3B">
      <w:pPr>
        <w:spacing w:after="200" w:line="276" w:lineRule="auto"/>
        <w:jc w:val="both"/>
      </w:pPr>
      <w:r>
        <w:t>The HAIA-RECCLIN architecture was not developed as a theoretical exercise. Its core components, checkpoint-based governance, multi-platform triangulation, dissent preservation, and human arbitration, were operationalized across multiple deployments spannin</w:t>
      </w:r>
      <w:r>
        <w:t>g content production, research evaluation, and adversarial stress testing.</w:t>
      </w:r>
    </w:p>
    <w:p w:rsidR="00371045" w:rsidRDefault="00F95A3B">
      <w:pPr>
        <w:spacing w:after="200" w:line="276" w:lineRule="auto"/>
        <w:ind w:firstLine="720"/>
        <w:jc w:val="both"/>
      </w:pPr>
      <w:r>
        <w:rPr>
          <w:b/>
          <w:bCs/>
        </w:rPr>
        <w:t>Primary Proof of Concept: Governing AI Manuscript.</w:t>
      </w:r>
      <w:r>
        <w:t xml:space="preserve"> The 200+ page manuscript </w:t>
      </w:r>
      <w:r>
        <w:rPr>
          <w:i/>
          <w:iCs/>
        </w:rPr>
        <w:t>Governing AI: When Capability Exceeds Control</w:t>
      </w:r>
      <w:r>
        <w:t xml:space="preserve"> (Puglisi, 2025) was produced entirely through human-AI collaboration under checkpoint-based governance. The manuscript production generated the following operational metrics. Ninety-six checkpoints were executed across the manuscript lifecycle, with human</w:t>
      </w:r>
      <w:r>
        <w:t xml:space="preserve"> arbitration at each. One hundred percent of identified dissent was documented, meaning no minority AI platform position was suppressed to achieve consensus. Twenty-eight major decisions were subjected to multi-platform review. Twenty-six dissenting positi</w:t>
      </w:r>
      <w:r>
        <w:t>ons were preserved in the final record. The checkpoint utilization rate was 96%, exceeding the 90% target, and eight of nine incident responses were resolved within 72 hours. Twelve governance events were multi-source verified.</w:t>
      </w:r>
    </w:p>
    <w:p w:rsidR="00371045" w:rsidRDefault="00F95A3B">
      <w:pPr>
        <w:spacing w:after="200" w:line="276" w:lineRule="auto"/>
        <w:ind w:firstLine="720"/>
        <w:jc w:val="both"/>
      </w:pPr>
      <w:r>
        <w:rPr>
          <w:b/>
          <w:bCs/>
        </w:rPr>
        <w:t>Case Study #001: Thought Lea</w:t>
      </w:r>
      <w:r>
        <w:rPr>
          <w:b/>
          <w:bCs/>
        </w:rPr>
        <w:t>der Evaluation.</w:t>
      </w:r>
      <w:r>
        <w:t xml:space="preserve"> A five-platform convergence study evaluated 22 AI thought leaders using the Human Enhancement Quotient (HEQ) methodology. Five independent AI platforms produced scores that converged within an 89 to 94 band, with model-specific contribution</w:t>
      </w:r>
      <w:r>
        <w:t>s documented for each platform. The convergence pattern demonstrated that multi-platform triangulation produces measurably consistent results when platforms are given identical prompts and evaluation criteria, while individual platform contributions (disti</w:t>
      </w:r>
      <w:r>
        <w:t>nctive analytical perspectives, domain-specific strengths) are preserved rather than averaged.</w:t>
      </w:r>
    </w:p>
    <w:p w:rsidR="00371045" w:rsidRDefault="00F95A3B">
      <w:pPr>
        <w:spacing w:after="200" w:line="276" w:lineRule="auto"/>
        <w:ind w:firstLine="720"/>
        <w:jc w:val="both"/>
      </w:pPr>
      <w:r>
        <w:rPr>
          <w:b/>
          <w:bCs/>
        </w:rPr>
        <w:t>Kimi Outlier Case Study.</w:t>
      </w:r>
      <w:r>
        <w:t xml:space="preserve"> An adversarial stress test across nine AI platforms evaluated the HAIA-RECCLIN specification itself. Eight of nine platforms recommended</w:t>
      </w:r>
      <w:r>
        <w:t xml:space="preserve"> publication. One platform (Kimi) sustained an adversarial rejection, mischaracterizing the framework as “theoretical” despite the operational evidence documented in the specification. Human arbitration reviewed Kimi’s objections, identified the mischaract</w:t>
      </w:r>
      <w:r>
        <w:t>erization, and documented the correction with full rationale. The case demonstrates the architecture’s designed behavior: a minority position was preserved, reviewed, and resolved through human judgment rather than automated consensus, exactly as the disse</w:t>
      </w:r>
      <w:r>
        <w:t>nt-preservation protocol specifies.</w:t>
      </w:r>
    </w:p>
    <w:p w:rsidR="00371045" w:rsidRDefault="00F95A3B">
      <w:pPr>
        <w:spacing w:after="200" w:line="276" w:lineRule="auto"/>
        <w:ind w:firstLine="720"/>
        <w:jc w:val="both"/>
      </w:pPr>
      <w:r>
        <w:rPr>
          <w:b/>
          <w:bCs/>
        </w:rPr>
        <w:t>Chapter 11 Override.</w:t>
      </w:r>
      <w:r>
        <w:t xml:space="preserve"> During the Governing AI manuscript production, the human arbiter overrode a four-of-six AI platform majority on a structural decision. Subsequent review confirmed that the minority position was corre</w:t>
      </w:r>
      <w:r>
        <w:t>ct and the majority had introduced citation errors. This case provides direct operational evidence for the necessity of human checkpoint authority: multi-platform consensus is not infallible, and the governance architecture must preserve the human’s abilit</w:t>
      </w:r>
      <w:r>
        <w:t>y to override even strong AI agreement when judgment warrants it.</w:t>
      </w:r>
    </w:p>
    <w:p w:rsidR="00371045" w:rsidRDefault="00F95A3B">
      <w:pPr>
        <w:spacing w:after="200" w:line="276" w:lineRule="auto"/>
        <w:ind w:firstLine="720"/>
        <w:jc w:val="both"/>
      </w:pPr>
      <w:r>
        <w:lastRenderedPageBreak/>
        <w:t>Additional validation evidence includes the HAIA-SMART v1.5 calibration framework (a structured assessment methodology for measuring collaboration quality) and the End-of-Year 2025 Collabora</w:t>
      </w:r>
      <w:r>
        <w:t>tion Audit, which documented framework performance across the full calendar year of operational deployment.</w:t>
      </w:r>
    </w:p>
    <w:p w:rsidR="00371045" w:rsidRDefault="00F95A3B">
      <w:pPr>
        <w:spacing w:after="200" w:line="276" w:lineRule="auto"/>
        <w:ind w:firstLine="720"/>
        <w:jc w:val="both"/>
      </w:pPr>
      <w:r>
        <w:t>These metrics are self-reported and derived from the author’s own operational records. They have not been independently verified by a third-party au</w:t>
      </w:r>
      <w:r>
        <w:t xml:space="preserve">ditor. The author acknowledges this limitation and notes that the architecture’s audit trail design is specifically intended to enable independent verification: all records are append-only, timestamped, and cryptographically chained, meaning a third-party </w:t>
      </w:r>
      <w:r>
        <w:t>auditor could reconstruct the complete decision history from the audit trail alone.</w:t>
      </w:r>
    </w:p>
    <w:p w:rsidR="00371045" w:rsidRDefault="00F95A3B">
      <w:r>
        <w:br w:type="page"/>
      </w:r>
    </w:p>
    <w:p w:rsidR="00371045" w:rsidRDefault="00F95A3B">
      <w:pPr>
        <w:pStyle w:val="Heading1"/>
      </w:pPr>
      <w:bookmarkStart w:id="23" w:name="_Toc221056975"/>
      <w:r>
        <w:lastRenderedPageBreak/>
        <w:t>6. Multi-Platform Review Under Checkpoint-Based Governance</w:t>
      </w:r>
      <w:bookmarkEnd w:id="23"/>
    </w:p>
    <w:p w:rsidR="00371045" w:rsidRDefault="00F95A3B">
      <w:pPr>
        <w:spacing w:after="200" w:line="276" w:lineRule="auto"/>
        <w:jc w:val="both"/>
      </w:pPr>
      <w:r>
        <w:t>The HAIA-RECCLIN specification underwent structured review across ten AI platforms: Claude (Anthropic), ChatGPT</w:t>
      </w:r>
      <w:r>
        <w:t xml:space="preserve"> (OpenAI), Gemini (Google), Grok (xAI), Perplexity, Mistral, DeepSeek, Kimi, and additional evaluation instances. The review process followed the framework’s own methodology: identical prompts were dispatched to all platforms, responses were collected, con</w:t>
      </w:r>
      <w:r>
        <w:t>vergence and divergence were documented, and human arbitration resolved all disagreements with documented rationale. The review process is framed as structured adversarial review under governance, not peer review in the traditional academic sense. No AI pl</w:t>
      </w:r>
      <w:r>
        <w:t>atform possesses the authority, institutional standing, or methodological independence to serve as a peer reviewer. The platforms served as structured critics operating under checkpoint governance, with the human arbiter retaining final decision authority.</w:t>
      </w:r>
    </w:p>
    <w:p w:rsidR="00371045" w:rsidRDefault="00F95A3B">
      <w:pPr>
        <w:spacing w:after="200" w:line="276" w:lineRule="auto"/>
        <w:ind w:firstLine="720"/>
        <w:jc w:val="both"/>
      </w:pPr>
      <w:r>
        <w:t>The final specification version (v1.7) incorporated ten decision points identified through four-platform deep review. All ten were resolved through human arbitration with documented rationale. Key findings from the multi-platform review include the follow</w:t>
      </w:r>
      <w:r>
        <w:t>ing. All platforms identified no architectural contradictions in the automation bias trigger mechanism (95% approval threshold, less than 2% reversal rate, three-cycle escalation), the agent security architecture (code integrity, separation of duties, immu</w:t>
      </w:r>
      <w:r>
        <w:t>table deployment), the three-tier categorical framework (Ethical AI, Responsible AI, AI Governance), and the evidence hierarchy designating Model 3 as the gold standard.</w:t>
      </w:r>
    </w:p>
    <w:p w:rsidR="00371045" w:rsidRDefault="00F95A3B">
      <w:pPr>
        <w:spacing w:after="200" w:line="276" w:lineRule="auto"/>
        <w:ind w:firstLine="720"/>
        <w:jc w:val="both"/>
      </w:pPr>
      <w:r>
        <w:t>The most contested design decision was Navigator concentration: all five reviewing pla</w:t>
      </w:r>
      <w:r>
        <w:t>tforms identified single-platform Navigator designation as a potential single point of failure, with five different remedies proposed. The human arbiter resolved this through documented rationale: the Navigator platform (Claude) demonstrated synthesis capa</w:t>
      </w:r>
      <w:r>
        <w:t>bility that other platforms had not matched, three-platform post-project review covers Navigator bias, and Checkpoint-Based Governance ensures that Navigator output is subject to human oversight at every checkpoint. This ruling was affirmed three times acr</w:t>
      </w:r>
      <w:r>
        <w:t>oss the specification’s development history.</w:t>
      </w:r>
    </w:p>
    <w:p w:rsidR="00371045" w:rsidRDefault="00F95A3B">
      <w:pPr>
        <w:spacing w:after="200" w:line="276" w:lineRule="auto"/>
        <w:ind w:firstLine="720"/>
        <w:jc w:val="both"/>
      </w:pPr>
      <w:r>
        <w:t>The integration gap claim was separately verified through an independent search commission dispatched to four AI platforms (Gemini, ChatGPT, DeepSeek, Kimi). All four platforms confirmed the claim at medium to h</w:t>
      </w:r>
      <w:r>
        <w:t>igh confidence. No platform identified a published framework integrating all five components. The closest candidates identified (Bandara et al., 2025; Vijayaraghavan et al., 2026; Sonate Trust Protocol) each covered three of five components, with non-cogni</w:t>
      </w:r>
      <w:r>
        <w:t>tive agent design and automation bias detection consistently absent.</w:t>
      </w:r>
    </w:p>
    <w:p w:rsidR="00371045" w:rsidRDefault="00F95A3B">
      <w:r>
        <w:br w:type="page"/>
      </w:r>
    </w:p>
    <w:p w:rsidR="00371045" w:rsidRDefault="00F95A3B">
      <w:pPr>
        <w:pStyle w:val="Heading1"/>
      </w:pPr>
      <w:bookmarkStart w:id="24" w:name="_Toc221056976"/>
      <w:r>
        <w:lastRenderedPageBreak/>
        <w:t>7. Limitations and Future Work</w:t>
      </w:r>
      <w:bookmarkEnd w:id="24"/>
    </w:p>
    <w:p w:rsidR="00371045" w:rsidRDefault="00F95A3B">
      <w:pPr>
        <w:pStyle w:val="Heading2"/>
      </w:pPr>
      <w:bookmarkStart w:id="25" w:name="_Toc221056977"/>
      <w:r>
        <w:t>7.1 WEIRD Bias Limitation</w:t>
      </w:r>
      <w:bookmarkEnd w:id="25"/>
    </w:p>
    <w:p w:rsidR="00371045" w:rsidRDefault="00F95A3B">
      <w:pPr>
        <w:spacing w:after="200" w:line="276" w:lineRule="auto"/>
        <w:jc w:val="both"/>
      </w:pPr>
      <w:r>
        <w:t>As documented in Section 3.6, all major AI platforms share overlapping training data drawn predominantly from WEIRD sources. Mul</w:t>
      </w:r>
      <w:r>
        <w:t>ti-platform triangulation can detect divergence between platforms but cannot detect biases shared across platforms. This is a structural limitation of any multi-AI governance approach, not unique to HAIA-RECCLIN, but it must be acknowledged rather than obs</w:t>
      </w:r>
      <w:r>
        <w:t>cured.</w:t>
      </w:r>
    </w:p>
    <w:p w:rsidR="00371045" w:rsidRDefault="00F95A3B">
      <w:pPr>
        <w:spacing w:after="200" w:line="276" w:lineRule="auto"/>
        <w:ind w:firstLine="720"/>
        <w:jc w:val="both"/>
      </w:pPr>
      <w:r>
        <w:t xml:space="preserve">During the multi-platform review process documented in Section 6, two platforms with distinct commercial branding returned identical review text on the same task, demonstrating that provider plurality can fail when platforms share overlapping model </w:t>
      </w:r>
      <w:r>
        <w:t>architectures or training pipelines. This is a concrete instance of the limitation this section describes: triangulation requires genuinely independent platforms, and commercial branding alone is not a reliable indicator of architectural independence.</w:t>
      </w:r>
    </w:p>
    <w:p w:rsidR="00371045" w:rsidRDefault="00F95A3B">
      <w:pPr>
        <w:spacing w:after="200" w:line="276" w:lineRule="auto"/>
        <w:ind w:firstLine="720"/>
        <w:jc w:val="both"/>
      </w:pPr>
      <w:r>
        <w:t xml:space="preserve">The </w:t>
      </w:r>
      <w:r>
        <w:t>long-term structural remedy for WEIRD bias in multi-AI governance is policy-driven: government subsidies for independent AI developers with diverse geographic, cultural, and institutional origins would expand the rotation pool beyond platforms sharing over</w:t>
      </w:r>
      <w:r>
        <w:t>lapping WEIRD corpora. Without such diversification at the ecosystem level, governance architecture can document the limitation but cannot resolve it.</w:t>
      </w:r>
    </w:p>
    <w:p w:rsidR="00371045" w:rsidRDefault="00F95A3B">
      <w:pPr>
        <w:pStyle w:val="Heading2"/>
      </w:pPr>
      <w:bookmarkStart w:id="26" w:name="_Toc221056978"/>
      <w:r>
        <w:t>7.2 Self-Validation</w:t>
      </w:r>
      <w:bookmarkEnd w:id="26"/>
    </w:p>
    <w:p w:rsidR="00371045" w:rsidRDefault="00F95A3B">
      <w:pPr>
        <w:spacing w:after="200" w:line="276" w:lineRule="auto"/>
        <w:jc w:val="both"/>
      </w:pPr>
      <w:r>
        <w:t>The framework was validated using the framework’s own methodology: multi-platform dis</w:t>
      </w:r>
      <w:r>
        <w:t xml:space="preserve">patch, synthesis, and human arbitration. This creates a circularity that the author acknowledges. The operational evidence from the </w:t>
      </w:r>
      <w:r>
        <w:rPr>
          <w:i/>
          <w:iCs/>
        </w:rPr>
        <w:t>Governing AI</w:t>
      </w:r>
      <w:r>
        <w:t xml:space="preserve"> manuscript and subsequent case studies demonstrates that the methodology produces documented, attributable deci</w:t>
      </w:r>
      <w:r>
        <w:t>sions with preserved dissent, but independent third-party validation using alternative methodologies remains a necessary next step.</w:t>
      </w:r>
    </w:p>
    <w:p w:rsidR="00371045" w:rsidRDefault="00F95A3B">
      <w:pPr>
        <w:pStyle w:val="Heading2"/>
      </w:pPr>
      <w:bookmarkStart w:id="27" w:name="_Toc221056979"/>
      <w:r>
        <w:t>7.3 Navigator Concentration</w:t>
      </w:r>
      <w:bookmarkEnd w:id="27"/>
    </w:p>
    <w:p w:rsidR="00371045" w:rsidRDefault="00F95A3B">
      <w:pPr>
        <w:spacing w:after="200" w:line="276" w:lineRule="auto"/>
        <w:jc w:val="both"/>
      </w:pPr>
      <w:r>
        <w:t>The designation of a single platform as primary Navigator creates a dependency that, while gover</w:t>
      </w:r>
      <w:r>
        <w:t>ned by checkpoint oversight, introduces potential systematic bias from that platform’s training data and alignment approach. The specification documents backup Navigators but acknowledges that platform synthesis capabilities are not uniformly distributed.</w:t>
      </w:r>
    </w:p>
    <w:p w:rsidR="00371045" w:rsidRDefault="00F95A3B">
      <w:pPr>
        <w:pStyle w:val="Heading2"/>
      </w:pPr>
      <w:bookmarkStart w:id="28" w:name="_Toc221056980"/>
      <w:r>
        <w:t>7.4 Model 2 Scalability</w:t>
      </w:r>
      <w:bookmarkEnd w:id="28"/>
    </w:p>
    <w:p w:rsidR="00371045" w:rsidRDefault="00F95A3B">
      <w:pPr>
        <w:spacing w:after="200" w:line="276" w:lineRule="auto"/>
        <w:jc w:val="both"/>
      </w:pPr>
      <w:r>
        <w:t>Operating Model 2 requires human arbitration at every checkpoint. At enterprise scale, this creates a human bottleneck that limits throughput. This is acknowledged as a design feature rather than a flaw: governance has a cost, and M</w:t>
      </w:r>
      <w:r>
        <w:t xml:space="preserve">odel 2 is intended for contexts where that cost is </w:t>
      </w:r>
      <w:r>
        <w:lastRenderedPageBreak/>
        <w:t>justified by the risk profile of the decisions being governed. Organizations requiring speed select Model 1. The architecture does not pretend that full governance and maximum throughput are simultaneously</w:t>
      </w:r>
      <w:r>
        <w:t xml:space="preserve"> achievable.</w:t>
      </w:r>
    </w:p>
    <w:p w:rsidR="00371045" w:rsidRDefault="00F95A3B">
      <w:pPr>
        <w:pStyle w:val="Heading2"/>
      </w:pPr>
      <w:bookmarkStart w:id="29" w:name="_Toc221056981"/>
      <w:r>
        <w:t>7.5 Future Work</w:t>
      </w:r>
      <w:bookmarkEnd w:id="29"/>
    </w:p>
    <w:p w:rsidR="00371045" w:rsidRDefault="00F95A3B">
      <w:pPr>
        <w:spacing w:after="200" w:line="276" w:lineRule="auto"/>
        <w:jc w:val="both"/>
      </w:pPr>
      <w:r>
        <w:t>Priority areas for future research include: independent third-party audit of the operational evidence trail; longitudinal studies of automation bias threshold effectiveness across domains; comparative analysis of Navigator synthesis quality across platform</w:t>
      </w:r>
      <w:r>
        <w:t>s; formal security verification of the non-cognitive agent design and HAIA-GOPEL implementation; controlled experimental studies of threshold calibration across diverse organizational contexts; and pilot implementations across regulated industries (financi</w:t>
      </w:r>
      <w:r>
        <w:t>al services, healthcare, government) to validate regulatory compliance mapping claims.</w:t>
      </w:r>
    </w:p>
    <w:p w:rsidR="00371045" w:rsidRDefault="00F95A3B">
      <w:r>
        <w:br w:type="page"/>
      </w:r>
    </w:p>
    <w:p w:rsidR="00371045" w:rsidRDefault="00F95A3B">
      <w:pPr>
        <w:pStyle w:val="Heading1"/>
      </w:pPr>
      <w:bookmarkStart w:id="30" w:name="_Toc221056982"/>
      <w:r>
        <w:lastRenderedPageBreak/>
        <w:t>8. Discussion</w:t>
      </w:r>
      <w:bookmarkEnd w:id="30"/>
    </w:p>
    <w:p w:rsidR="00371045" w:rsidRDefault="00F95A3B">
      <w:pPr>
        <w:spacing w:after="200" w:line="276" w:lineRule="auto"/>
        <w:jc w:val="both"/>
      </w:pPr>
      <w:r>
        <w:t>HAIA-RECCLIN occupies a specific and previously unoccupied position in the AI governance landscape. It is not an orchestration framework: it does not com</w:t>
      </w:r>
      <w:r>
        <w:t>pete with LangGraph, AutoGen, or CrewAI for task routing. It is not an ethics framework: it does not prescribe what is right or wrong. It is not a responsible AI toolkit: it does not provide model testing or bias mitigation techniques. It is a governance a</w:t>
      </w:r>
      <w:r>
        <w:t>rchitecture: it provides the structural and operational framework within which ethical judgments are made, responsible practices are enforced, and compliance is documented.</w:t>
      </w:r>
    </w:p>
    <w:p w:rsidR="00371045" w:rsidRDefault="00F95A3B">
      <w:pPr>
        <w:spacing w:after="200" w:line="276" w:lineRule="auto"/>
        <w:ind w:firstLine="720"/>
        <w:jc w:val="both"/>
      </w:pPr>
      <w:r>
        <w:t>The non-cognitive agent design represents the most counterintuitive contribution of</w:t>
      </w:r>
      <w:r>
        <w:t xml:space="preserve"> this work. In a field racing toward greater AI autonomy, HAIA-RECCLIN argues for maximum constraint on the orchestrating agent. The logic follows from the Harold Finch Principle: the component with the most access must have the least intelligence. If the </w:t>
      </w:r>
      <w:r>
        <w:t>orchestrating agent can evaluate content, it can be manipulated. If it cannot evaluate content, the attack surface reduces to transport and logging, both amenable to formal verification. The preliminary development of HAIA-GOPEL as the implementable form o</w:t>
      </w:r>
      <w:r>
        <w:t>f this specification bridges the gap between architectural theory and operational deployment.</w:t>
      </w:r>
    </w:p>
    <w:p w:rsidR="00371045" w:rsidRDefault="00F95A3B">
      <w:pPr>
        <w:spacing w:after="200" w:line="276" w:lineRule="auto"/>
        <w:ind w:firstLine="720"/>
        <w:jc w:val="both"/>
      </w:pPr>
      <w:r>
        <w:t>The provider plurality protocol addresses a concern that the antitrust literature has identified (Narechania &amp; Sitaraman, 2024; FAS, 2025) but that no operational</w:t>
      </w:r>
      <w:r>
        <w:t xml:space="preserve"> framework has previously implemented: the risk of single-vendor capture in AI-dependent workflows. Organizations that deploy on a single AI platform face the same governance risks that telecommunications regulators identified with monopoly providers: no c</w:t>
      </w:r>
      <w:r>
        <w:t>ompetitive pressure on quality, no alternative when the provider fails, and no ability to detect systematic bias without an external reference point.</w:t>
      </w:r>
    </w:p>
    <w:p w:rsidR="00371045" w:rsidRDefault="00F95A3B">
      <w:pPr>
        <w:spacing w:after="200" w:line="276" w:lineRule="auto"/>
        <w:ind w:firstLine="720"/>
        <w:jc w:val="both"/>
      </w:pPr>
      <w:r>
        <w:t>Provider plurality as an architectural requirement, however, is necessary but not sufficient. The Harold Finch Principle explains why: if all available platforms are built by corporations with overlapping profit incentives, overlapping training data, and o</w:t>
      </w:r>
      <w:r>
        <w:t>verlapping institutional cultures, rotation produces the appearance of diversity without its substance. The policy argument follows directly. Government subsidies for independent AI developers, free of corporate influence and profit motive, with diverse ge</w:t>
      </w:r>
      <w:r>
        <w:t>ographic and cultural origins, expand the pool of genuinely independent platforms from which HAIA-RECCLIN’s rotation protocol draws. HAIA-RECCLIN captures the value of diversity when diversity exists in the ecosystem. The ecosystem must first be diverse. T</w:t>
      </w:r>
      <w:r>
        <w:t>hat is a policy problem, not an engineering problem.</w:t>
      </w:r>
    </w:p>
    <w:p w:rsidR="00371045" w:rsidRDefault="00F95A3B">
      <w:pPr>
        <w:spacing w:after="200" w:line="276" w:lineRule="auto"/>
        <w:ind w:firstLine="720"/>
        <w:jc w:val="both"/>
      </w:pPr>
      <w:r>
        <w:t xml:space="preserve">The regulatory compliance implications are significant. The EU AI Act mandates human oversight (Article 14) and logging (Article 12) for high-risk AI systems. ISO 42001 requires documented AI management </w:t>
      </w:r>
      <w:r>
        <w:t xml:space="preserve">systems. NIST AI RMF emphasizes traceability and accountability. DORA (Digital Operational Resilience Act) requires ICT risk management for financial institutions. NYDFS 23 NYCRR 500 mandates cybersecurity controls for financial services. </w:t>
      </w:r>
      <w:r>
        <w:lastRenderedPageBreak/>
        <w:t>HAIA-RECCLIN prod</w:t>
      </w:r>
      <w:r>
        <w:t>uces the artifacts required by all of these frameworks: timestamped decision records, human approval documentation, error logs, provider identity trails, and automation bias metrics. The architecture does not claim compliance. It claims that an organizatio</w:t>
      </w:r>
      <w:r>
        <w:t>n operating the architecture produces the documentation and operational evidence that compliance requires.</w:t>
      </w:r>
    </w:p>
    <w:p w:rsidR="00371045" w:rsidRDefault="00F95A3B">
      <w:pPr>
        <w:spacing w:after="200" w:line="276" w:lineRule="auto"/>
        <w:ind w:firstLine="720"/>
        <w:jc w:val="both"/>
      </w:pPr>
      <w:r>
        <w:t>The relationship between HAIA-RECCLIN and orchestration frameworks is complementary, not competitive. HAIA-RECCLIN could be implemented on top of Lan</w:t>
      </w:r>
      <w:r>
        <w:t>gGraph, AutoGen, or any other orchestration substrate. The orchestration framework provides the plumbing. HAIA-RECCLIN provides the governance. Plumbing without governance is automation. Governance without plumbing is policy.</w:t>
      </w:r>
    </w:p>
    <w:p w:rsidR="00371045" w:rsidRDefault="00F95A3B">
      <w:r>
        <w:br w:type="page"/>
      </w:r>
    </w:p>
    <w:p w:rsidR="00371045" w:rsidRDefault="00F95A3B">
      <w:pPr>
        <w:pStyle w:val="Heading1"/>
      </w:pPr>
      <w:bookmarkStart w:id="31" w:name="_Toc221056983"/>
      <w:r>
        <w:lastRenderedPageBreak/>
        <w:t>9. Conclusion</w:t>
      </w:r>
      <w:bookmarkEnd w:id="31"/>
    </w:p>
    <w:p w:rsidR="00371045" w:rsidRDefault="00F95A3B">
      <w:pPr>
        <w:spacing w:after="200" w:line="276" w:lineRule="auto"/>
        <w:jc w:val="both"/>
      </w:pPr>
      <w:r>
        <w:t>This paper has</w:t>
      </w:r>
      <w:r>
        <w:t xml:space="preserve"> presented HAIA-RECCLIN, a governance architecture specification for a non-cognitive autonomous agent that enables audit-grade multi-AI collaboration. The architecture addresses a documented integration gap in the published literature, verified through ind</w:t>
      </w:r>
      <w:r>
        <w:t>ependent multi-platform search: no existing framework combines non-cognitive agent design, mandatory provider plurality, cryptographic audit trails, automation bias detection, and cross-framework regulatory compliance mapping into a single operational arch</w:t>
      </w:r>
      <w:r>
        <w:t>itecture.</w:t>
      </w:r>
    </w:p>
    <w:p w:rsidR="00371045" w:rsidRDefault="00F95A3B">
      <w:pPr>
        <w:spacing w:after="200" w:line="276" w:lineRule="auto"/>
        <w:ind w:firstLine="720"/>
        <w:jc w:val="both"/>
      </w:pPr>
      <w:r>
        <w:t xml:space="preserve">The framework was developed through iterative multi-platform refinement, operationally validated through multiple proof-of-concept deployments including a 96-checkpoint manuscript production, a five-platform thought leader convergence study, and </w:t>
      </w:r>
      <w:r>
        <w:t>adversarial stress testing across nine platforms, and independently reviewed under checkpoint-based governance across ten AI platforms. It provides three operating models that scale governance intensity to match organizational risk profiles, from factory-s</w:t>
      </w:r>
      <w:r>
        <w:t>peed single-endpoint approval through full human arbitration at every checkpoint.</w:t>
      </w:r>
    </w:p>
    <w:p w:rsidR="00371045" w:rsidRDefault="00F95A3B">
      <w:pPr>
        <w:spacing w:after="200" w:line="276" w:lineRule="auto"/>
        <w:ind w:firstLine="720"/>
        <w:jc w:val="both"/>
      </w:pPr>
      <w:r>
        <w:t>The core design philosophy is structural humility: the agent that orchestrates the most powerful AI platforms is itself the least intelligent component in the system. It disp</w:t>
      </w:r>
      <w:r>
        <w:t>atches, collects, routes, logs, and pauses. It performs zero cognitive work. It is a pipe with a logbook. The humans decide. The platforms reason. The agent governs the space between them.</w:t>
      </w:r>
    </w:p>
    <w:p w:rsidR="00371045" w:rsidRDefault="00F95A3B">
      <w:pPr>
        <w:spacing w:after="200" w:line="276" w:lineRule="auto"/>
        <w:ind w:firstLine="720"/>
        <w:jc w:val="both"/>
      </w:pPr>
      <w:r>
        <w:t>The non-cognitive agent is under preliminary development as HAIA-GO</w:t>
      </w:r>
      <w:r>
        <w:t>PEL (Governance Orchestrator Policy Enforcement Layer), bridging the gap between the architectural specification documented here and operational implementation. The specification is published as an open document (GitHub: github.com/basilpuglisi/HAIA) and t</w:t>
      </w:r>
      <w:r>
        <w:t>he author invites implementation, critique, extension, and correction from the research community.</w:t>
      </w:r>
    </w:p>
    <w:p w:rsidR="00371045" w:rsidRDefault="00F95A3B">
      <w:r>
        <w:br w:type="page"/>
      </w:r>
    </w:p>
    <w:p w:rsidR="00371045" w:rsidRDefault="00F95A3B">
      <w:pPr>
        <w:pStyle w:val="Heading1"/>
      </w:pPr>
      <w:bookmarkStart w:id="32" w:name="_Toc221056984"/>
      <w:r>
        <w:lastRenderedPageBreak/>
        <w:t>References</w:t>
      </w:r>
      <w:bookmarkEnd w:id="32"/>
    </w:p>
    <w:p w:rsidR="00371045" w:rsidRDefault="00F95A3B">
      <w:pPr>
        <w:spacing w:after="120" w:line="276" w:lineRule="auto"/>
        <w:ind w:left="720" w:hanging="720"/>
        <w:jc w:val="both"/>
      </w:pPr>
      <w:r>
        <w:t>Agranat Commission. (1974). Israeli state inquiry into the Yom Kippur War. State of Israel Government Report.</w:t>
      </w:r>
    </w:p>
    <w:p w:rsidR="00371045" w:rsidRDefault="00F95A3B">
      <w:pPr>
        <w:spacing w:after="120" w:line="276" w:lineRule="auto"/>
        <w:ind w:left="720" w:hanging="720"/>
        <w:jc w:val="both"/>
      </w:pPr>
      <w:r>
        <w:t>Bandara, E., et al. (2025). Toward</w:t>
      </w:r>
      <w:r>
        <w:t>s responsible and explainable AI agents with consensus-driven reasoning. arXiv preprint arXiv:2512.21699.</w:t>
      </w:r>
    </w:p>
    <w:p w:rsidR="00371045" w:rsidRDefault="00F95A3B">
      <w:pPr>
        <w:spacing w:after="120" w:line="276" w:lineRule="auto"/>
        <w:ind w:left="720" w:hanging="720"/>
        <w:jc w:val="both"/>
      </w:pPr>
      <w:r>
        <w:t>Banovic, N., Kraut, R. E., Olson, J. S., &amp; Steinfeld, A. (2023). The effects of explanations and algorithmic accuracy on visual recommender systems of</w:t>
      </w:r>
      <w:r>
        <w:t xml:space="preserve"> artistic images. Behaviour &amp; Information Technology, 43(9), 1–18. https://doi.org/10.1080/0144929X.2023.2184098</w:t>
      </w:r>
    </w:p>
    <w:p w:rsidR="00371045" w:rsidRDefault="00F95A3B">
      <w:pPr>
        <w:spacing w:after="120" w:line="276" w:lineRule="auto"/>
        <w:ind w:left="720" w:hanging="720"/>
        <w:jc w:val="both"/>
      </w:pPr>
      <w:r>
        <w:t>Barrett, H. C., et al. (2023). Psychology’s WEIRD problems. Cambridge Elements. https://doi.org/10.1017/9781108974288</w:t>
      </w:r>
    </w:p>
    <w:p w:rsidR="00371045" w:rsidRDefault="00F95A3B">
      <w:pPr>
        <w:spacing w:after="120" w:line="276" w:lineRule="auto"/>
        <w:ind w:left="720" w:hanging="720"/>
        <w:jc w:val="both"/>
      </w:pPr>
      <w:r>
        <w:t xml:space="preserve">Cao, J., Deng, Z., Zhao, </w:t>
      </w:r>
      <w:r>
        <w:t>M., Guo, L., &amp; Zhang, S. (2024). Diagnosing the Western cultural bias of large vision-language models in generative image understanding. arXiv preprint arXiv:2406.11665.</w:t>
      </w:r>
    </w:p>
    <w:p w:rsidR="00371045" w:rsidRDefault="00F95A3B">
      <w:pPr>
        <w:spacing w:after="120" w:line="276" w:lineRule="auto"/>
        <w:ind w:left="720" w:hanging="720"/>
        <w:jc w:val="both"/>
      </w:pPr>
      <w:r>
        <w:t>Clayton Antitrust Act, 15 U.S.C. §§ 12–27 (1914).</w:t>
      </w:r>
    </w:p>
    <w:p w:rsidR="00371045" w:rsidRDefault="00F95A3B">
      <w:pPr>
        <w:spacing w:after="120" w:line="276" w:lineRule="auto"/>
        <w:ind w:left="720" w:hanging="720"/>
        <w:jc w:val="both"/>
      </w:pPr>
      <w:r>
        <w:t>Di Vita, S., et al. (2025). EAM-SQL:</w:t>
      </w:r>
      <w:r>
        <w:t xml:space="preserve"> Cryptographic safety envelopes for table-centric LLM pipelines. OpenReview.</w:t>
      </w:r>
    </w:p>
    <w:p w:rsidR="00371045" w:rsidRDefault="00F95A3B">
      <w:pPr>
        <w:spacing w:after="120" w:line="276" w:lineRule="auto"/>
        <w:ind w:left="720" w:hanging="720"/>
        <w:jc w:val="both"/>
      </w:pPr>
      <w:r>
        <w:t>European Data Protection Supervisor. (2025, September 22). TechDispatch #2/2025: Human oversight of automated decision-making. EDPS Office.</w:t>
      </w:r>
    </w:p>
    <w:p w:rsidR="00371045" w:rsidRDefault="00F95A3B">
      <w:pPr>
        <w:spacing w:after="120" w:line="276" w:lineRule="auto"/>
        <w:ind w:left="720" w:hanging="720"/>
        <w:jc w:val="both"/>
      </w:pPr>
      <w:r>
        <w:t>European Union. (2024). Regulation (EU) 2024/1689 of the European Parliament and of the Council of 13 March 2024 laying down harmonised rules on artificial intelligence. Official Journal of the European Union, L 188. Articles 12, 14. https://artificialinte</w:t>
      </w:r>
      <w:r>
        <w:t>lligenceact.eu/</w:t>
      </w:r>
    </w:p>
    <w:p w:rsidR="00371045" w:rsidRDefault="00F95A3B">
      <w:pPr>
        <w:spacing w:after="120" w:line="276" w:lineRule="auto"/>
        <w:ind w:left="720" w:hanging="720"/>
        <w:jc w:val="both"/>
      </w:pPr>
      <w:r>
        <w:t>Federation of American Scientists. (2025, January 9). Antitrust in the AI era. FAS Policy Publication. https://fas.org/publication/antitrust-in-the-ai-era/</w:t>
      </w:r>
    </w:p>
    <w:p w:rsidR="00371045" w:rsidRDefault="00F95A3B">
      <w:pPr>
        <w:spacing w:after="120" w:line="276" w:lineRule="auto"/>
        <w:ind w:left="720" w:hanging="720"/>
        <w:jc w:val="both"/>
      </w:pPr>
      <w:r>
        <w:t>Gaurav, S., Heikkonen, J., &amp; Chaudhary, J. (2025). Governance-as-a-Service: A multi-</w:t>
      </w:r>
      <w:r>
        <w:t>agent framework for AI system compliance and policy enforcement. arXiv preprint arXiv:2508.18765.</w:t>
      </w:r>
    </w:p>
    <w:p w:rsidR="00371045" w:rsidRDefault="00F95A3B">
      <w:pPr>
        <w:spacing w:after="120" w:line="276" w:lineRule="auto"/>
        <w:ind w:left="720" w:hanging="720"/>
        <w:jc w:val="both"/>
      </w:pPr>
      <w:r>
        <w:t>Georgia Institute of Technology. (2024, April 2). LLMs generate Western bias even when trained with non-Western languages. Georgia Tech News.</w:t>
      </w:r>
    </w:p>
    <w:p w:rsidR="00371045" w:rsidRDefault="00F95A3B">
      <w:pPr>
        <w:spacing w:after="120" w:line="276" w:lineRule="auto"/>
        <w:ind w:left="720" w:hanging="720"/>
        <w:jc w:val="both"/>
      </w:pPr>
      <w:r>
        <w:t>Goddard, K., Rou</w:t>
      </w:r>
      <w:r>
        <w:t>dsari, A., &amp; Wyatt, J. C. (2011). Automation bias: A systematic review of frequency, effect mediators, and mitigators. Journal of the American Medical Informatics Association, 19(1), 121–127. https://doi.org/10.1136/amiajnl-2011-000089</w:t>
      </w:r>
    </w:p>
    <w:p w:rsidR="00371045" w:rsidRDefault="00F95A3B">
      <w:pPr>
        <w:spacing w:after="120" w:line="276" w:lineRule="auto"/>
        <w:ind w:left="720" w:hanging="720"/>
        <w:jc w:val="both"/>
      </w:pPr>
      <w:r>
        <w:t>Heim, L., Bernaerts,</w:t>
      </w:r>
      <w:r>
        <w:t xml:space="preserve"> K., Metzger, C., &amp; Anderljung, M. (2024). Governing through the cloud: The intermediary role of compute providers in AI regulation. Center for the Governance of AI.</w:t>
      </w:r>
    </w:p>
    <w:p w:rsidR="00371045" w:rsidRDefault="00F95A3B">
      <w:pPr>
        <w:spacing w:after="120" w:line="276" w:lineRule="auto"/>
        <w:ind w:left="720" w:hanging="720"/>
        <w:jc w:val="both"/>
      </w:pPr>
      <w:r>
        <w:lastRenderedPageBreak/>
        <w:t>Henrich, J., Atari, M., Xue, M. J., Park, P. S., &amp; Blasi, D. E. (2024). Which humans? Meas</w:t>
      </w:r>
      <w:r>
        <w:t>uring and understanding the responses of large language models to cultural diversity. Harvard Department of Human Evolutionary Biology. [Working Paper].</w:t>
      </w:r>
    </w:p>
    <w:p w:rsidR="00371045" w:rsidRDefault="00F95A3B">
      <w:pPr>
        <w:spacing w:after="120" w:line="276" w:lineRule="auto"/>
        <w:ind w:left="720" w:hanging="720"/>
        <w:jc w:val="both"/>
      </w:pPr>
      <w:r>
        <w:t>Henrich, J., Heine, S. J., &amp; Norenzayan, A. (2010). The weirdest people in the world? Behavioral and Br</w:t>
      </w:r>
      <w:r>
        <w:t>ain Sciences, 33(2–3), 61–83. https://doi.org/10.1017/S0140525X0999152X</w:t>
      </w:r>
    </w:p>
    <w:p w:rsidR="00371045" w:rsidRDefault="00F95A3B">
      <w:pPr>
        <w:spacing w:after="120" w:line="276" w:lineRule="auto"/>
        <w:ind w:left="720" w:hanging="720"/>
        <w:jc w:val="both"/>
      </w:pPr>
      <w:r>
        <w:t>Hoover, A. (2025, June 17). There’s a ‘10% to 20% chance’ that AI will displace humans completely, says ‘godfather’ of the technology. CNBC.</w:t>
      </w:r>
    </w:p>
    <w:p w:rsidR="00371045" w:rsidRDefault="00F95A3B">
      <w:pPr>
        <w:spacing w:after="120" w:line="276" w:lineRule="auto"/>
        <w:ind w:left="720" w:hanging="720"/>
        <w:jc w:val="both"/>
      </w:pPr>
      <w:r>
        <w:t>Janis, I. L. (1972). Victims of groupthink:</w:t>
      </w:r>
      <w:r>
        <w:t xml:space="preserve"> A psychological study of foreign-policy decisions and fiascos. Houghton Mifflin.</w:t>
      </w:r>
    </w:p>
    <w:p w:rsidR="00371045" w:rsidRDefault="00F95A3B">
      <w:pPr>
        <w:spacing w:after="120" w:line="276" w:lineRule="auto"/>
        <w:ind w:left="720" w:hanging="720"/>
        <w:jc w:val="both"/>
      </w:pPr>
      <w:r>
        <w:t>Kreps, S., Kriner, D. L., &amp; Schneider, J. (2024). Automation bias in national security contexts: Experiential and attitudinal drivers. International Studies Quarterly, 68(2),</w:t>
      </w:r>
      <w:r>
        <w:t xml:space="preserve"> sqae020. https://doi.org/10.1093/isq/sqae020</w:t>
      </w:r>
    </w:p>
    <w:p w:rsidR="00371045" w:rsidRDefault="00F95A3B">
      <w:pPr>
        <w:spacing w:after="120" w:line="276" w:lineRule="auto"/>
        <w:ind w:left="720" w:hanging="720"/>
        <w:jc w:val="both"/>
      </w:pPr>
      <w:r>
        <w:t>Mallaband, A. (2025, December 29). Deterministic guardrails for nondeterministic agents. LinkedIn.</w:t>
      </w:r>
    </w:p>
    <w:p w:rsidR="00371045" w:rsidRDefault="00F95A3B">
      <w:pPr>
        <w:spacing w:after="120" w:line="276" w:lineRule="auto"/>
        <w:ind w:left="720" w:hanging="720"/>
        <w:jc w:val="both"/>
      </w:pPr>
      <w:r>
        <w:t>Mökander, J., &amp; Floridi, L. (2025). Human oversight under Article 14 of the EU AI Act. In Regulation of Artific</w:t>
      </w:r>
      <w:r>
        <w:t>ial Intelligence: International Standards and Governance Mechanisms (pp. 127–154). Edward Elgar Publishing.</w:t>
      </w:r>
    </w:p>
    <w:p w:rsidR="00371045" w:rsidRDefault="00F95A3B">
      <w:pPr>
        <w:spacing w:after="120" w:line="276" w:lineRule="auto"/>
        <w:ind w:left="720" w:hanging="720"/>
        <w:jc w:val="both"/>
      </w:pPr>
      <w:r>
        <w:t>Mosier, K. L., &amp; Skitka, L. J. (1996). Does automation bias decision-making? International Journal of Industrial Ergonomics, 18(5), 311–325. https:/</w:t>
      </w:r>
      <w:r>
        <w:t>/doi.org/10.1016/0169-8141(95)00070-4</w:t>
      </w:r>
    </w:p>
    <w:p w:rsidR="00371045" w:rsidRDefault="00F95A3B">
      <w:pPr>
        <w:spacing w:after="120" w:line="276" w:lineRule="auto"/>
        <w:ind w:left="720" w:hanging="720"/>
        <w:jc w:val="both"/>
      </w:pPr>
      <w:r>
        <w:t>Narechania, T. S., &amp; Sitaraman, G. (2024). An antimonopoly approach to governing artificial intelligence. Yale Law &amp; Policy Review, 43(1), 1–74.</w:t>
      </w:r>
    </w:p>
    <w:p w:rsidR="00371045" w:rsidRDefault="00F95A3B">
      <w:pPr>
        <w:spacing w:after="120" w:line="276" w:lineRule="auto"/>
        <w:ind w:left="720" w:hanging="720"/>
        <w:jc w:val="both"/>
      </w:pPr>
      <w:r>
        <w:t>Navarrete, J., Vaca-Barahona, B., Peña, S., &amp; Hernández-Suárez, A. (2024)</w:t>
      </w:r>
      <w:r>
        <w:t>. Human oversight of automated decision-making systems: A multi-method study on automation bias with recidivism risk assessment algorithms. PLOS ONE, 19(1), e0296384.</w:t>
      </w:r>
    </w:p>
    <w:p w:rsidR="00371045" w:rsidRDefault="00F95A3B">
      <w:pPr>
        <w:spacing w:after="120" w:line="276" w:lineRule="auto"/>
        <w:ind w:left="720" w:hanging="720"/>
        <w:jc w:val="both"/>
      </w:pPr>
      <w:r>
        <w:t>Nolan, J., &amp; Nolan, L. (Creators). (2011–2016). Person of Interest [Television series]. C</w:t>
      </w:r>
      <w:r>
        <w:t>BS.</w:t>
      </w:r>
    </w:p>
    <w:p w:rsidR="00371045" w:rsidRDefault="00F95A3B">
      <w:pPr>
        <w:spacing w:after="120" w:line="276" w:lineRule="auto"/>
        <w:ind w:left="720" w:hanging="720"/>
        <w:jc w:val="both"/>
      </w:pPr>
      <w:r>
        <w:t>Parasuraman, R., &amp; Manzey, D. H. (2010). Complacency and bias in human use of automation: An attentional integration. Human Factors, 52(3), 381–410. https://doi.org/10.1177/0018720810376055</w:t>
      </w:r>
    </w:p>
    <w:p w:rsidR="00371045" w:rsidRDefault="00F95A3B">
      <w:pPr>
        <w:spacing w:after="120" w:line="276" w:lineRule="auto"/>
        <w:ind w:left="720" w:hanging="720"/>
        <w:jc w:val="both"/>
      </w:pPr>
      <w:r>
        <w:t>Pierucci, F., Galisai, M., Bracale, M. S., Prandi, M., Biscont</w:t>
      </w:r>
      <w:r>
        <w:t>i, P., Giarrusso, F., Sorokoletova, O., Suriani, V., &amp; Nardi, D. (2026). Institutional AI: A governance framework for distributional AGI safety. arXiv preprint arXiv:2601.10599.</w:t>
      </w:r>
    </w:p>
    <w:p w:rsidR="00371045" w:rsidRDefault="00F95A3B">
      <w:pPr>
        <w:spacing w:after="120" w:line="276" w:lineRule="auto"/>
        <w:ind w:left="720" w:hanging="720"/>
        <w:jc w:val="both"/>
      </w:pPr>
      <w:r>
        <w:t>Puglisi, B. (2025). Checkpoint-Based Governance v4.2.1. basilpuglisi.com.</w:t>
      </w:r>
    </w:p>
    <w:p w:rsidR="00371045" w:rsidRDefault="00F95A3B">
      <w:pPr>
        <w:spacing w:after="120" w:line="276" w:lineRule="auto"/>
        <w:ind w:left="720" w:hanging="720"/>
        <w:jc w:val="both"/>
      </w:pPr>
      <w:r>
        <w:t>Pugl</w:t>
      </w:r>
      <w:r>
        <w:t>isi, B. (2025). Governing AI: When capability exceeds control. basilpuglisi.com.</w:t>
      </w:r>
    </w:p>
    <w:p w:rsidR="00371045" w:rsidRDefault="00F95A3B">
      <w:pPr>
        <w:spacing w:after="120" w:line="276" w:lineRule="auto"/>
        <w:ind w:left="720" w:hanging="720"/>
        <w:jc w:val="both"/>
      </w:pPr>
      <w:r>
        <w:lastRenderedPageBreak/>
        <w:t>Puglisi, B. (2026). HAIA-RECCLIN Governance Architecture Specification v1.7. basilpuglisi.com. https://github.com/basilpuglisi/HAIA</w:t>
      </w:r>
    </w:p>
    <w:p w:rsidR="00371045" w:rsidRDefault="00F95A3B">
      <w:pPr>
        <w:spacing w:after="120" w:line="276" w:lineRule="auto"/>
        <w:ind w:left="720" w:hanging="720"/>
        <w:jc w:val="both"/>
      </w:pPr>
      <w:r>
        <w:t>Puglisi, B. (2026). HAIA-RECCLIN Multi-AI F</w:t>
      </w:r>
      <w:r>
        <w:t>ramework Updated for 2026. basilpuglisi.com.</w:t>
      </w:r>
    </w:p>
    <w:p w:rsidR="00371045" w:rsidRDefault="00F95A3B">
      <w:pPr>
        <w:spacing w:after="120" w:line="276" w:lineRule="auto"/>
        <w:ind w:left="720" w:hanging="720"/>
        <w:jc w:val="both"/>
      </w:pPr>
      <w:r>
        <w:t>Schrepel, T. (2025). Decoding the AI Act: Implications for competition law and computational antitrust. Journal of Competition Law &amp; Economics, 21(3), 374–412. https://doi.org/10.1093/jcle/qhae024</w:t>
      </w:r>
    </w:p>
    <w:p w:rsidR="00371045" w:rsidRDefault="00F95A3B">
      <w:pPr>
        <w:spacing w:after="120" w:line="276" w:lineRule="auto"/>
        <w:ind w:left="720" w:hanging="720"/>
        <w:jc w:val="both"/>
      </w:pPr>
      <w:r>
        <w:t>Sherman Antitr</w:t>
      </w:r>
      <w:r>
        <w:t>ust Act, 15 U.S.C. §§ 1–7 (1890).</w:t>
      </w:r>
    </w:p>
    <w:p w:rsidR="00371045" w:rsidRDefault="00F95A3B">
      <w:pPr>
        <w:spacing w:after="120" w:line="276" w:lineRule="auto"/>
        <w:ind w:left="720" w:hanging="720"/>
        <w:jc w:val="both"/>
      </w:pPr>
      <w:r>
        <w:t>Shur-Ofry, M. (2023). Multiplicity as an AI governance principle. International Journal for Law and Information Policy, 12(3), 374–410.</w:t>
      </w:r>
    </w:p>
    <w:p w:rsidR="00371045" w:rsidRDefault="00F95A3B">
      <w:pPr>
        <w:spacing w:after="120" w:line="276" w:lineRule="auto"/>
        <w:ind w:left="720" w:hanging="720"/>
        <w:jc w:val="both"/>
      </w:pPr>
      <w:r>
        <w:t>Sonate. (n.d.). SONATE Trust Protocol. Sonate.</w:t>
      </w:r>
    </w:p>
    <w:p w:rsidR="00371045" w:rsidRDefault="00F95A3B">
      <w:pPr>
        <w:spacing w:after="120" w:line="276" w:lineRule="auto"/>
        <w:ind w:left="720" w:hanging="720"/>
        <w:jc w:val="both"/>
      </w:pPr>
      <w:r>
        <w:t>Tao, Y., Viberg, O., Baker, R. S., &amp;</w:t>
      </w:r>
      <w:r>
        <w:t xml:space="preserve"> Kizilcec, R. F. (2024). Cultural bias and cultural alignment of large language models. PNAS Nexus, 3(9), pgae346. https://doi.org/10.1093/pnasnexus/pgae346</w:t>
      </w:r>
    </w:p>
    <w:p w:rsidR="00371045" w:rsidRDefault="00F95A3B">
      <w:pPr>
        <w:spacing w:after="120" w:line="276" w:lineRule="auto"/>
        <w:ind w:left="720" w:hanging="720"/>
        <w:jc w:val="both"/>
      </w:pPr>
      <w:r>
        <w:t>Vallance, C. (2024, December 27). ‘Godfather of AI’ shortens odds of the technology wiping out huma</w:t>
      </w:r>
      <w:r>
        <w:t>nity over next 30 years. The Guardian.</w:t>
      </w:r>
    </w:p>
    <w:p w:rsidR="00371045" w:rsidRDefault="00F95A3B">
      <w:pPr>
        <w:spacing w:after="120" w:line="276" w:lineRule="auto"/>
        <w:ind w:left="720" w:hanging="720"/>
        <w:jc w:val="both"/>
      </w:pPr>
      <w:r>
        <w:t>VeritasChain Standards Organization. (2026, January 18). Why the EU AI Act needs cryptographic audit trails—and how VCP v1.1 delivers them. VeritasChain Blog.</w:t>
      </w:r>
    </w:p>
    <w:p w:rsidR="00371045" w:rsidRDefault="00F95A3B">
      <w:pPr>
        <w:spacing w:after="120" w:line="276" w:lineRule="auto"/>
        <w:ind w:left="720" w:hanging="720"/>
        <w:jc w:val="both"/>
      </w:pPr>
      <w:r>
        <w:t xml:space="preserve">Vijayaraghavan, G., et al. (2026). If you want coherence, </w:t>
      </w:r>
      <w:r>
        <w:t>orchestrate a team of rivals: Multi-agent models of organizational intelligence. arXiv preprint arXiv:2601.14351.</w:t>
      </w:r>
    </w:p>
    <w:p w:rsidR="00371045" w:rsidRDefault="00F95A3B">
      <w:pPr>
        <w:spacing w:after="120" w:line="276" w:lineRule="auto"/>
        <w:ind w:left="720" w:hanging="720"/>
        <w:jc w:val="both"/>
      </w:pPr>
      <w:r>
        <w:t>Zhao, R., Shoaib, M., Hoang, V. T., &amp; Hassan, W. U. (2025). Rethinking tamper-evident logging: A high-performance, co-designed auditing system</w:t>
      </w:r>
      <w:r>
        <w:t>. In Proceedings of the 2025 ACM SIGSAC Conference on Computer and Communications Security (CCS ’25). ACM.</w:t>
      </w:r>
    </w:p>
    <w:p w:rsidR="00371045" w:rsidRDefault="00F95A3B">
      <w:pPr>
        <w:spacing w:after="120" w:line="276" w:lineRule="auto"/>
        <w:ind w:left="720" w:hanging="720"/>
        <w:jc w:val="both"/>
      </w:pPr>
      <w:r>
        <w:t>Zheng, K. (2025). Antitrust in artificial intelligence infrastructure. NeuroComputing. https://doi.org/10.1016/j.neucom.2025.127235</w:t>
      </w:r>
    </w:p>
    <w:p w:rsidR="00371045" w:rsidRDefault="00F95A3B">
      <w:pPr>
        <w:spacing w:after="120" w:line="276" w:lineRule="auto"/>
        <w:ind w:left="720" w:hanging="720"/>
        <w:jc w:val="both"/>
      </w:pPr>
      <w:r>
        <w:t>Zhou, K., Constan</w:t>
      </w:r>
      <w:r>
        <w:t>tinides, M., &amp; Quercia, D. (2025). Should LLMs be WEIRD? Exploring WEIRDness and human rights in large language models. arXiv preprint arXiv:2508.19269.</w:t>
      </w:r>
    </w:p>
    <w:sectPr w:rsidR="00371045">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5A3B" w:rsidRDefault="00F95A3B">
      <w:r>
        <w:separator/>
      </w:r>
    </w:p>
  </w:endnote>
  <w:endnote w:type="continuationSeparator" w:id="0">
    <w:p w:rsidR="00F95A3B" w:rsidRDefault="00F95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1045" w:rsidRDefault="00F95A3B">
    <w:pPr>
      <w:jc w:val="center"/>
    </w:pPr>
    <w:r>
      <w:rPr>
        <w:sz w:val="20"/>
        <w:szCs w:val="20"/>
      </w:rPr>
      <w:t xml:space="preserve">Page </w:t>
    </w:r>
    <w:r>
      <w:rPr>
        <w:sz w:val="20"/>
        <w:szCs w:val="20"/>
      </w:rPr>
      <w:fldChar w:fldCharType="begin"/>
    </w:r>
    <w:r>
      <w:rPr>
        <w:sz w:val="20"/>
        <w:szCs w:val="20"/>
      </w:rPr>
      <w:instrText>PAGE</w:instrText>
    </w:r>
    <w:r w:rsidR="004541DF">
      <w:rPr>
        <w:sz w:val="20"/>
        <w:szCs w:val="20"/>
      </w:rPr>
      <w:fldChar w:fldCharType="separate"/>
    </w:r>
    <w:r w:rsidR="004541DF">
      <w:rPr>
        <w:noProof/>
        <w:sz w:val="20"/>
        <w:szCs w:val="20"/>
      </w:rPr>
      <w:t>25</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5A3B" w:rsidRDefault="00F95A3B">
      <w:r>
        <w:separator/>
      </w:r>
    </w:p>
  </w:footnote>
  <w:footnote w:type="continuationSeparator" w:id="0">
    <w:p w:rsidR="00F95A3B" w:rsidRDefault="00F95A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1045" w:rsidRDefault="00F95A3B">
    <w:pPr>
      <w:jc w:val="right"/>
    </w:pPr>
    <w:r>
      <w:rPr>
        <w:i/>
        <w:iCs/>
        <w:sz w:val="18"/>
        <w:szCs w:val="18"/>
      </w:rPr>
      <w:t>HAIA-RECCLIN: Governance Architec</w:t>
    </w:r>
    <w:r>
      <w:rPr>
        <w:i/>
        <w:iCs/>
        <w:sz w:val="18"/>
        <w:szCs w:val="18"/>
      </w:rPr>
      <w:t>ture for Multi-AI Collaboration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33794A"/>
    <w:multiLevelType w:val="hybridMultilevel"/>
    <w:tmpl w:val="D0249F74"/>
    <w:lvl w:ilvl="0" w:tplc="96BC5640">
      <w:start w:val="1"/>
      <w:numFmt w:val="bullet"/>
      <w:lvlText w:val="●"/>
      <w:lvlJc w:val="left"/>
      <w:pPr>
        <w:ind w:left="720" w:hanging="360"/>
      </w:pPr>
    </w:lvl>
    <w:lvl w:ilvl="1" w:tplc="28B03618">
      <w:start w:val="1"/>
      <w:numFmt w:val="bullet"/>
      <w:lvlText w:val="○"/>
      <w:lvlJc w:val="left"/>
      <w:pPr>
        <w:ind w:left="1440" w:hanging="360"/>
      </w:pPr>
    </w:lvl>
    <w:lvl w:ilvl="2" w:tplc="99A4AC8A">
      <w:start w:val="1"/>
      <w:numFmt w:val="bullet"/>
      <w:lvlText w:val="■"/>
      <w:lvlJc w:val="left"/>
      <w:pPr>
        <w:ind w:left="2160" w:hanging="360"/>
      </w:pPr>
    </w:lvl>
    <w:lvl w:ilvl="3" w:tplc="BC626CD0">
      <w:start w:val="1"/>
      <w:numFmt w:val="bullet"/>
      <w:lvlText w:val="●"/>
      <w:lvlJc w:val="left"/>
      <w:pPr>
        <w:ind w:left="2880" w:hanging="360"/>
      </w:pPr>
    </w:lvl>
    <w:lvl w:ilvl="4" w:tplc="00E24DC2">
      <w:start w:val="1"/>
      <w:numFmt w:val="bullet"/>
      <w:lvlText w:val="○"/>
      <w:lvlJc w:val="left"/>
      <w:pPr>
        <w:ind w:left="3600" w:hanging="360"/>
      </w:pPr>
    </w:lvl>
    <w:lvl w:ilvl="5" w:tplc="9252F470">
      <w:start w:val="1"/>
      <w:numFmt w:val="bullet"/>
      <w:lvlText w:val="■"/>
      <w:lvlJc w:val="left"/>
      <w:pPr>
        <w:ind w:left="4320" w:hanging="360"/>
      </w:pPr>
    </w:lvl>
    <w:lvl w:ilvl="6" w:tplc="27123FCC">
      <w:start w:val="1"/>
      <w:numFmt w:val="bullet"/>
      <w:lvlText w:val="●"/>
      <w:lvlJc w:val="left"/>
      <w:pPr>
        <w:ind w:left="5040" w:hanging="360"/>
      </w:pPr>
    </w:lvl>
    <w:lvl w:ilvl="7" w:tplc="F3745EC0">
      <w:start w:val="1"/>
      <w:numFmt w:val="bullet"/>
      <w:lvlText w:val="●"/>
      <w:lvlJc w:val="left"/>
      <w:pPr>
        <w:ind w:left="5760" w:hanging="360"/>
      </w:pPr>
    </w:lvl>
    <w:lvl w:ilvl="8" w:tplc="75883FB8">
      <w:start w:val="1"/>
      <w:numFmt w:val="bullet"/>
      <w:lvlText w:val="●"/>
      <w:lvlJc w:val="left"/>
      <w:pPr>
        <w:ind w:left="6480" w:hanging="360"/>
      </w:pPr>
    </w:lvl>
  </w:abstractNum>
  <w:abstractNum w:abstractNumId="1">
    <w:nsid w:val="76613298"/>
    <w:multiLevelType w:val="hybridMultilevel"/>
    <w:tmpl w:val="4538D792"/>
    <w:lvl w:ilvl="0" w:tplc="8A96385E">
      <w:start w:val="1"/>
      <w:numFmt w:val="bullet"/>
      <w:lvlText w:val="•"/>
      <w:lvlJc w:val="left"/>
      <w:pPr>
        <w:ind w:left="720" w:hanging="360"/>
      </w:pPr>
    </w:lvl>
    <w:lvl w:ilvl="1" w:tplc="D0CC9718">
      <w:numFmt w:val="decimal"/>
      <w:lvlText w:val=""/>
      <w:lvlJc w:val="left"/>
    </w:lvl>
    <w:lvl w:ilvl="2" w:tplc="F2881666">
      <w:numFmt w:val="decimal"/>
      <w:lvlText w:val=""/>
      <w:lvlJc w:val="left"/>
    </w:lvl>
    <w:lvl w:ilvl="3" w:tplc="A75AA278">
      <w:numFmt w:val="decimal"/>
      <w:lvlText w:val=""/>
      <w:lvlJc w:val="left"/>
    </w:lvl>
    <w:lvl w:ilvl="4" w:tplc="42B822EE">
      <w:numFmt w:val="decimal"/>
      <w:lvlText w:val=""/>
      <w:lvlJc w:val="left"/>
    </w:lvl>
    <w:lvl w:ilvl="5" w:tplc="75860BB0">
      <w:numFmt w:val="decimal"/>
      <w:lvlText w:val=""/>
      <w:lvlJc w:val="left"/>
    </w:lvl>
    <w:lvl w:ilvl="6" w:tplc="AF0276A2">
      <w:numFmt w:val="decimal"/>
      <w:lvlText w:val=""/>
      <w:lvlJc w:val="left"/>
    </w:lvl>
    <w:lvl w:ilvl="7" w:tplc="B90EE8E8">
      <w:numFmt w:val="decimal"/>
      <w:lvlText w:val=""/>
      <w:lvlJc w:val="left"/>
    </w:lvl>
    <w:lvl w:ilvl="8" w:tplc="B430104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371045"/>
    <w:rsid w:val="00371045"/>
    <w:rsid w:val="004541DF"/>
    <w:rsid w:val="00F95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sz w:val="28"/>
      <w:szCs w:val="28"/>
    </w:rPr>
  </w:style>
  <w:style w:type="paragraph" w:styleId="Heading2">
    <w:name w:val="heading 2"/>
    <w:qFormat/>
    <w:pPr>
      <w:spacing w:before="240" w:after="200"/>
      <w:outlineLvl w:val="1"/>
    </w:pPr>
    <w:rPr>
      <w:b/>
      <w:bCs/>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541DF"/>
    <w:pPr>
      <w:spacing w:after="100"/>
    </w:pPr>
  </w:style>
  <w:style w:type="paragraph" w:styleId="TOC2">
    <w:name w:val="toc 2"/>
    <w:basedOn w:val="Normal"/>
    <w:next w:val="Normal"/>
    <w:autoRedefine/>
    <w:uiPriority w:val="39"/>
    <w:unhideWhenUsed/>
    <w:rsid w:val="004541DF"/>
    <w:pPr>
      <w:spacing w:after="100"/>
      <w:ind w:left="240"/>
    </w:pPr>
  </w:style>
  <w:style w:type="paragraph" w:styleId="BalloonText">
    <w:name w:val="Balloon Text"/>
    <w:basedOn w:val="Normal"/>
    <w:link w:val="BalloonTextChar"/>
    <w:uiPriority w:val="99"/>
    <w:semiHidden/>
    <w:unhideWhenUsed/>
    <w:rsid w:val="004541DF"/>
    <w:rPr>
      <w:rFonts w:ascii="Tahoma" w:hAnsi="Tahoma" w:cs="Tahoma"/>
      <w:sz w:val="16"/>
      <w:szCs w:val="16"/>
    </w:rPr>
  </w:style>
  <w:style w:type="character" w:customStyle="1" w:styleId="BalloonTextChar">
    <w:name w:val="Balloon Text Char"/>
    <w:basedOn w:val="DefaultParagraphFont"/>
    <w:link w:val="BalloonText"/>
    <w:uiPriority w:val="99"/>
    <w:semiHidden/>
    <w:rsid w:val="004541D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sz w:val="28"/>
      <w:szCs w:val="28"/>
    </w:rPr>
  </w:style>
  <w:style w:type="paragraph" w:styleId="Heading2">
    <w:name w:val="heading 2"/>
    <w:qFormat/>
    <w:pPr>
      <w:spacing w:before="240" w:after="200"/>
      <w:outlineLvl w:val="1"/>
    </w:pPr>
    <w:rPr>
      <w:b/>
      <w:bCs/>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541DF"/>
    <w:pPr>
      <w:spacing w:after="100"/>
    </w:pPr>
  </w:style>
  <w:style w:type="paragraph" w:styleId="TOC2">
    <w:name w:val="toc 2"/>
    <w:basedOn w:val="Normal"/>
    <w:next w:val="Normal"/>
    <w:autoRedefine/>
    <w:uiPriority w:val="39"/>
    <w:unhideWhenUsed/>
    <w:rsid w:val="004541DF"/>
    <w:pPr>
      <w:spacing w:after="100"/>
      <w:ind w:left="240"/>
    </w:pPr>
  </w:style>
  <w:style w:type="paragraph" w:styleId="BalloonText">
    <w:name w:val="Balloon Text"/>
    <w:basedOn w:val="Normal"/>
    <w:link w:val="BalloonTextChar"/>
    <w:uiPriority w:val="99"/>
    <w:semiHidden/>
    <w:unhideWhenUsed/>
    <w:rsid w:val="004541DF"/>
    <w:rPr>
      <w:rFonts w:ascii="Tahoma" w:hAnsi="Tahoma" w:cs="Tahoma"/>
      <w:sz w:val="16"/>
      <w:szCs w:val="16"/>
    </w:rPr>
  </w:style>
  <w:style w:type="character" w:customStyle="1" w:styleId="BalloonTextChar">
    <w:name w:val="Balloon Text Char"/>
    <w:basedOn w:val="DefaultParagraphFont"/>
    <w:link w:val="BalloonText"/>
    <w:uiPriority w:val="99"/>
    <w:semiHidden/>
    <w:rsid w:val="004541D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9027</Words>
  <Characters>51460</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Puglisi</cp:lastModifiedBy>
  <cp:revision>2</cp:revision>
  <dcterms:created xsi:type="dcterms:W3CDTF">2026-02-04T04:47:00Z</dcterms:created>
  <dcterms:modified xsi:type="dcterms:W3CDTF">2026-02-04T05:22:00Z</dcterms:modified>
</cp:coreProperties>
</file>