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2A4A"/>
          <w:sz w:val="48"/>
          <w:szCs w:val="48"/>
        </w:rPr>
        <w:t xml:space="preserve">GOPEL Specification Gap Analysis</w:t>
      </w:r>
    </w:p>
    <w:p>
      <w:pPr>
        <w:spacing w:after="200"/>
        <w:jc w:val="center"/>
      </w:pPr>
      <w:r>
        <w:rPr>
          <w:rFonts w:ascii="Arial" w:cs="Arial" w:eastAsia="Arial" w:hAnsi="Arial"/>
          <w:color w:val="2E75B6"/>
          <w:sz w:val="28"/>
          <w:szCs w:val="28"/>
        </w:rPr>
        <w:t xml:space="preserve">v0.6.1 Reference Implementation vs. Canonical v1.4 + Extensions</w:t>
      </w:r>
    </w:p>
    <w:p>
      <w:pPr>
        <w:pBdr>
          <w:bottom w:val="single" w:color="2E75B6" w:sz="6" w:space="12"/>
        </w:pBdr>
        <w:spacing w:after="80"/>
        <w:jc w:val="center"/>
      </w:pPr>
      <w:r>
        <w:rPr>
          <w:rFonts w:ascii="Arial" w:cs="Arial" w:eastAsia="Arial" w:hAnsi="Arial"/>
          <w:color w:val="666666"/>
          <w:sz w:val="24"/>
          <w:szCs w:val="24"/>
        </w:rPr>
        <w:t xml:space="preserve">Pre-Lockdown Alignment Assessment</w:t>
      </w:r>
    </w:p>
    <w:p>
      <w:pPr>
        <w:spacing w:before="400"/>
      </w:pPr>
    </w:p>
    <w:p>
      <w:pPr>
        <w:spacing w:after="60"/>
        <w:jc w:val="center"/>
      </w:pPr>
      <w:r>
        <w:rPr>
          <w:rFonts w:ascii="Arial" w:cs="Arial" w:eastAsia="Arial" w:hAnsi="Arial"/>
          <w:b/>
          <w:bCs/>
          <w:sz w:val="22"/>
          <w:szCs w:val="22"/>
        </w:rPr>
        <w:t xml:space="preserve">Role: </w:t>
      </w:r>
      <w:r>
        <w:rPr>
          <w:rFonts w:ascii="Arial" w:cs="Arial" w:eastAsia="Arial" w:hAnsi="Arial"/>
          <w:sz w:val="22"/>
          <w:szCs w:val="22"/>
        </w:rPr>
        <w:t xml:space="preserve">Researcher (Primary), Navigator (Secondary)</w:t>
      </w:r>
    </w:p>
    <w:p>
      <w:pPr>
        <w:spacing w:after="60"/>
        <w:jc w:val="center"/>
      </w:pPr>
      <w:r>
        <w:rPr>
          <w:rFonts w:ascii="Arial" w:cs="Arial" w:eastAsia="Arial" w:hAnsi="Arial"/>
          <w:b/>
          <w:bCs/>
          <w:sz w:val="22"/>
          <w:szCs w:val="22"/>
        </w:rPr>
        <w:t xml:space="preserve">Human Arbiter: </w:t>
      </w:r>
      <w:r>
        <w:rPr>
          <w:rFonts w:ascii="Arial" w:cs="Arial" w:eastAsia="Arial" w:hAnsi="Arial"/>
          <w:sz w:val="22"/>
          <w:szCs w:val="22"/>
        </w:rPr>
        <w:t xml:space="preserve">Basil C. Puglisi, MPA</w:t>
      </w:r>
    </w:p>
    <w:p>
      <w:pPr>
        <w:spacing w:after="60"/>
        <w:jc w:val="center"/>
      </w:pPr>
      <w:r>
        <w:rPr>
          <w:rFonts w:ascii="Arial" w:cs="Arial" w:eastAsia="Arial" w:hAnsi="Arial"/>
          <w:b/>
          <w:bCs/>
          <w:sz w:val="22"/>
          <w:szCs w:val="22"/>
        </w:rPr>
        <w:t xml:space="preserve">Date: </w:t>
      </w:r>
      <w:r>
        <w:rPr>
          <w:rFonts w:ascii="Arial" w:cs="Arial" w:eastAsia="Arial" w:hAnsi="Arial"/>
          <w:sz w:val="22"/>
          <w:szCs w:val="22"/>
        </w:rPr>
        <w:t xml:space="preserve">May 9, 2026</w:t>
      </w:r>
    </w:p>
    <w:p>
      <w:pPr>
        <w:spacing w:after="60"/>
        <w:jc w:val="center"/>
      </w:pPr>
      <w:r>
        <w:rPr>
          <w:rFonts w:ascii="Arial" w:cs="Arial" w:eastAsia="Arial" w:hAnsi="Arial"/>
          <w:b/>
          <w:bCs/>
          <w:sz w:val="22"/>
          <w:szCs w:val="22"/>
        </w:rPr>
        <w:t xml:space="preserve">Confidence: </w:t>
      </w:r>
      <w:r>
        <w:rPr>
          <w:rFonts w:ascii="Arial" w:cs="Arial" w:eastAsia="Arial" w:hAnsi="Arial"/>
          <w:sz w:val="22"/>
          <w:szCs w:val="22"/>
        </w:rPr>
        <w:t xml:space="preserve">90% (full source review of PoC + complete reading of all four specification documents)</w:t>
      </w:r>
    </w:p>
    <w:p>
      <w:pPr>
        <w:spacing w:after="60"/>
        <w:jc w:val="center"/>
      </w:pPr>
      <w:r>
        <w:rPr>
          <w:rFonts w:ascii="Arial" w:cs="Arial" w:eastAsia="Arial" w:hAnsi="Arial"/>
          <w:b/>
          <w:bCs/>
          <w:sz w:val="22"/>
          <w:szCs w:val="22"/>
        </w:rPr>
        <w:t xml:space="preserve">Expiry: </w:t>
      </w:r>
      <w:r>
        <w:rPr>
          <w:rFonts w:ascii="Arial" w:cs="Arial" w:eastAsia="Arial" w:hAnsi="Arial"/>
          <w:sz w:val="22"/>
          <w:szCs w:val="22"/>
        </w:rPr>
        <w:t xml:space="preserve">Valid until next specification revision or PoC code change</w:t>
      </w:r>
    </w:p>
    <w:p>
      <w:pPr>
        <w:spacing w:before="300"/>
      </w:pPr>
    </w:p>
    <w:p>
      <w:pPr>
        <w:spacing w:after="60"/>
        <w:jc w:val="center"/>
      </w:pPr>
      <w:r>
        <w:rPr>
          <w:rFonts w:ascii="Arial" w:cs="Arial" w:eastAsia="Arial" w:hAnsi="Arial"/>
          <w:b/>
          <w:bCs/>
          <w:sz w:val="22"/>
          <w:szCs w:val="22"/>
        </w:rPr>
        <w:t xml:space="preserve">Documents Analyzed:</w:t>
      </w:r>
    </w:p>
    <w:p>
      <w:pPr>
        <w:spacing w:after="40"/>
        <w:jc w:val="center"/>
      </w:pPr>
      <w:r>
        <w:rPr>
          <w:rFonts w:ascii="Arial" w:cs="Arial" w:eastAsia="Arial" w:hAnsi="Arial"/>
          <w:sz w:val="20"/>
          <w:szCs w:val="20"/>
        </w:rPr>
        <w:t xml:space="preserve">1. GOPEL Canonical Public Description v1.4 (March 2026)</w:t>
      </w:r>
    </w:p>
    <w:p>
      <w:pPr>
        <w:spacing w:after="40"/>
        <w:jc w:val="center"/>
      </w:pPr>
      <w:r>
        <w:rPr>
          <w:rFonts w:ascii="Arial" w:cs="Arial" w:eastAsia="Arial" w:hAnsi="Arial"/>
          <w:sz w:val="20"/>
          <w:szCs w:val="20"/>
        </w:rPr>
        <w:t xml:space="preserve">2. GOPEL Post-Quantum Cryptographic Agility Amendment v1.2 (March 2026)</w:t>
      </w:r>
    </w:p>
    <w:p>
      <w:pPr>
        <w:spacing w:after="40"/>
        <w:jc w:val="center"/>
      </w:pPr>
      <w:r>
        <w:rPr>
          <w:rFonts w:ascii="Arial" w:cs="Arial" w:eastAsia="Arial" w:hAnsi="Arial"/>
          <w:sz w:val="20"/>
          <w:szCs w:val="20"/>
        </w:rPr>
        <w:t xml:space="preserve">3. GOPEL Confidential Processing Extension (CPE) v1.1 (March 2026)</w:t>
      </w:r>
    </w:p>
    <w:p>
      <w:pPr>
        <w:spacing w:after="40"/>
        <w:jc w:val="center"/>
      </w:pPr>
      <w:r>
        <w:rPr>
          <w:rFonts w:ascii="Arial" w:cs="Arial" w:eastAsia="Arial" w:hAnsi="Arial"/>
          <w:sz w:val="20"/>
          <w:szCs w:val="20"/>
        </w:rPr>
        <w:t xml:space="preserve">4. GOPEL Checkpoint Information Chain Extension (CICE) v1.2 (March 2026)</w:t>
      </w:r>
    </w:p>
    <w:p>
      <w:pPr>
        <w:sectPr>
          <w:pgSz w:w="12240" w:h="15840" w:orient="portrait"/>
          <w:pgMar w:top="1440" w:right="1440" w:bottom="1440" w:left="1440" w:header="708" w:footer="708" w:gutter="0"/>
          <w:pgNumType/>
          <w:docGrid w:linePitch="360"/>
        </w:sectPr>
      </w:pPr>
    </w:p>
    <w:p>
      <w:pPr>
        <w:pStyle w:val="Heading1"/>
        <w:spacing w:after="120" w:before="360"/>
      </w:pPr>
      <w:r>
        <w:rPr>
          <w:rFonts w:ascii="Arial" w:cs="Arial" w:eastAsia="Arial" w:hAnsi="Arial"/>
          <w:b/>
          <w:bCs/>
        </w:rPr>
        <w:t xml:space="preserve">1. Executive Summary</w:t>
      </w:r>
    </w:p>
    <w:p>
      <w:pPr>
        <w:spacing w:after="120"/>
      </w:pPr>
      <w:r>
        <w:rPr>
          <w:rFonts w:ascii="Arial" w:cs="Arial" w:eastAsia="Arial" w:hAnsi="Arial"/>
          <w:sz w:val="22"/>
          <w:szCs w:val="22"/>
        </w:rPr>
        <w:t xml:space="preserve">Four specification documents were uploaded representing the current architectural state of the GOPEL ecosystem as of March 2026. This analysis maps each specification requirement against the GOPEL v0.6.1 reference implementation (the codebase reviewed in the Security Review Report) to determine: what the PoC already implements, what it partially implements, what represents a specification gap requiring new code, and what is classified as a future development target not blocking lockdown.</w:t>
      </w:r>
    </w:p>
    <w:p>
      <w:pPr>
        <w:spacing w:after="120"/>
      </w:pPr>
      <w:r>
        <w:rPr>
          <w:rFonts w:ascii="Arial" w:cs="Arial" w:eastAsia="Arial" w:hAnsi="Arial"/>
          <w:sz w:val="22"/>
          <w:szCs w:val="22"/>
        </w:rPr>
        <w:t xml:space="preserve">The core finding is that the v0.6.1 PoC implements the foundational architecture described in the Canonical Description (Points 1 through 7, 9 through 11) with high fidelity. The three extension documents (Post-Quantum Amendment, CPE, CICE) define capabilities that are explicitly designated as future development targets by their own specifications. They do not invalidate the v0.6.1 lockdown. They define the roadmap beyond it.</w:t>
      </w:r>
    </w:p>
    <w:p>
      <w:pPr>
        <w:spacing w:after="120"/>
      </w:pPr>
      <w:r>
        <w:rPr>
          <w:rFonts w:ascii="Arial" w:cs="Arial" w:eastAsia="Arial" w:hAnsi="Arial"/>
          <w:sz w:val="22"/>
          <w:szCs w:val="22"/>
        </w:rPr>
        <w:t xml:space="preserve">The critical implication for the lockdown strategy: the 11 security findings from the Security Review Report remain the correct and complete pre-lockdown fix list. The specification extensions do not add new requirements to v0.6.1. They add new requirements to the versions that follow it.</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36"/>
                <w:szCs w:val="36"/>
              </w:rPr>
              <w:t xml:space="preserve">23</w:t>
            </w:r>
            <w:r>
              <w:rPr>
                <w:rFonts w:ascii="Arial" w:cs="Arial" w:eastAsia="Arial" w:hAnsi="Arial"/>
                <w:color w:val="FFFFFF"/>
                <w:sz w:val="16"/>
                <w:szCs w:val="16"/>
              </w:rPr>
              <w:t xml:space="preserve">
IMPLEMENTED</w:t>
            </w:r>
          </w:p>
        </w:tc>
        <w:tc>
          <w:tcPr>
            <w:tcW w:type="dxa" w:w="234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36"/>
                <w:szCs w:val="36"/>
              </w:rPr>
              <w:t xml:space="preserve">4</w:t>
            </w:r>
            <w:r>
              <w:rPr>
                <w:rFonts w:ascii="Arial" w:cs="Arial" w:eastAsia="Arial" w:hAnsi="Arial"/>
                <w:color w:val="FFFFFF"/>
                <w:sz w:val="16"/>
                <w:szCs w:val="16"/>
              </w:rPr>
              <w:t xml:space="preserve">
PARTIAL</w:t>
            </w:r>
          </w:p>
        </w:tc>
        <w:tc>
          <w:tcPr>
            <w:tcW w:type="dxa" w:w="234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36"/>
                <w:szCs w:val="36"/>
              </w:rPr>
              <w:t xml:space="preserve">8</w:t>
            </w:r>
            <w:r>
              <w:rPr>
                <w:rFonts w:ascii="Arial" w:cs="Arial" w:eastAsia="Arial" w:hAnsi="Arial"/>
                <w:color w:val="FFFFFF"/>
                <w:sz w:val="16"/>
                <w:szCs w:val="16"/>
              </w:rPr>
              <w:t xml:space="preserve">
GAP (v0.7+)</w:t>
            </w:r>
          </w:p>
        </w:tc>
        <w:tc>
          <w:tcPr>
            <w:tcW w:type="dxa" w:w="2340"/>
            <w:tcBorders>
              <w:top w:val="single" w:color="CCCCCC" w:sz="1"/>
              <w:left w:val="single" w:color="CCCCCC" w:sz="1"/>
              <w:bottom w:val="single" w:color="CCCCCC" w:sz="1"/>
              <w:right w:val="single" w:color="CCCCCC" w:sz="1"/>
            </w:tcBorders>
            <w:shd w:fill="95A5A6" w:val="clear"/>
            <w:tcMar>
              <w:top w:type="dxa" w:w="80"/>
              <w:left w:type="dxa" w:w="120"/>
              <w:bottom w:type="dxa" w:w="80"/>
              <w:right w:type="dxa" w:w="120"/>
            </w:tcMar>
          </w:tcPr>
          <w:p>
            <w:pPr>
              <w:jc w:val="center"/>
            </w:pPr>
            <w:r>
              <w:rPr>
                <w:rFonts w:ascii="Arial" w:cs="Arial" w:eastAsia="Arial" w:hAnsi="Arial"/>
                <w:b/>
                <w:bCs/>
                <w:color w:val="FFFFFF"/>
                <w:sz w:val="36"/>
                <w:szCs w:val="36"/>
              </w:rPr>
              <w:t xml:space="preserve">6</w:t>
            </w:r>
            <w:r>
              <w:rPr>
                <w:rFonts w:ascii="Arial" w:cs="Arial" w:eastAsia="Arial" w:hAnsi="Arial"/>
                <w:color w:val="FFFFFF"/>
                <w:sz w:val="16"/>
                <w:szCs w:val="16"/>
              </w:rPr>
              <w:t xml:space="preserve">
FUTURE</w:t>
            </w:r>
          </w:p>
        </w:tc>
      </w:tr>
    </w:tbl>
    <w:p>
      <w:pPr>
        <w:pBdr>
          <w:left w:val="single" w:color="2E75B6" w:sz="6" w:space="8"/>
        </w:pBdr>
        <w:spacing w:after="40" w:before="80"/>
        <w:ind w:left="360"/>
      </w:pPr>
      <w:r>
        <w:rPr>
          <w:rFonts w:ascii="Arial" w:cs="Arial" w:eastAsia="Arial" w:hAnsi="Arial"/>
          <w:b/>
          <w:bCs/>
          <w:color w:val="2E75B6"/>
          <w:sz w:val="20"/>
          <w:szCs w:val="20"/>
        </w:rPr>
        <w:t xml:space="preserve">Fact: </w:t>
      </w:r>
      <w:r>
        <w:rPr>
          <w:rFonts w:ascii="Arial" w:cs="Arial" w:eastAsia="Arial" w:hAnsi="Arial"/>
          <w:sz w:val="20"/>
          <w:szCs w:val="20"/>
        </w:rPr>
        <w:t xml:space="preserve">v0.6.1 implements 23 of 41 mapped specification requirements; 4 partial, 8 gap (post-lockdown), 6 future (Tier 3).</w:t>
      </w:r>
    </w:p>
    <w:p>
      <w:pPr>
        <w:pBdr>
          <w:left w:val="single" w:color="2E75B6" w:sz="6" w:space="8"/>
        </w:pBdr>
        <w:spacing w:after="40" w:before="0"/>
        <w:ind w:left="360"/>
      </w:pPr>
      <w:r>
        <w:rPr>
          <w:rFonts w:ascii="Arial" w:cs="Arial" w:eastAsia="Arial" w:hAnsi="Arial"/>
          <w:b/>
          <w:bCs/>
          <w:color w:val="2E75B6"/>
          <w:sz w:val="20"/>
          <w:szCs w:val="20"/>
        </w:rPr>
        <w:t xml:space="preserve">Tactic: </w:t>
      </w:r>
      <w:r>
        <w:rPr>
          <w:rFonts w:ascii="Arial" w:cs="Arial" w:eastAsia="Arial" w:hAnsi="Arial"/>
          <w:sz w:val="20"/>
          <w:szCs w:val="20"/>
        </w:rPr>
        <w:t xml:space="preserve">Lock down v0.6.1 with the 11 security fixes; defer extension implementation to v0.7+ roadmap.</w:t>
      </w:r>
    </w:p>
    <w:p>
      <w:pPr>
        <w:pBdr>
          <w:left w:val="single" w:color="2E75B6" w:sz="6" w:space="8"/>
        </w:pBdr>
        <w:spacing w:after="120" w:before="0"/>
        <w:ind w:left="360"/>
      </w:pPr>
      <w:r>
        <w:rPr>
          <w:rFonts w:ascii="Arial" w:cs="Arial" w:eastAsia="Arial" w:hAnsi="Arial"/>
          <w:b/>
          <w:bCs/>
          <w:color w:val="2E75B6"/>
          <w:sz w:val="20"/>
          <w:szCs w:val="20"/>
        </w:rPr>
        <w:t xml:space="preserve">KPI: </w:t>
      </w:r>
      <w:r>
        <w:rPr>
          <w:rFonts w:ascii="Arial" w:cs="Arial" w:eastAsia="Arial" w:hAnsi="Arial"/>
          <w:sz w:val="20"/>
          <w:szCs w:val="20"/>
        </w:rPr>
        <w:t xml:space="preserve">Lockdown release has 0 CRITICAL findings, 0 HIGH findings, 23/23 core requirements verified.</w:t>
      </w:r>
    </w:p>
    <w:p>
      <w:r>
        <w:br w:type="page"/>
      </w:r>
    </w:p>
    <w:p>
      <w:pPr>
        <w:pStyle w:val="Heading1"/>
        <w:spacing w:after="120" w:before="360"/>
      </w:pPr>
      <w:r>
        <w:rPr>
          <w:rFonts w:ascii="Arial" w:cs="Arial" w:eastAsia="Arial" w:hAnsi="Arial"/>
          <w:b/>
          <w:bCs/>
        </w:rPr>
        <w:t xml:space="preserve">2. Canonical Description v1.4 Alignment</w:t>
      </w:r>
    </w:p>
    <w:p>
      <w:pPr>
        <w:spacing w:after="120"/>
      </w:pPr>
      <w:r>
        <w:rPr>
          <w:rFonts w:ascii="Arial" w:cs="Arial" w:eastAsia="Arial" w:hAnsi="Arial"/>
          <w:sz w:val="22"/>
          <w:szCs w:val="22"/>
        </w:rPr>
        <w:t xml:space="preserve">The Canonical Description defines 11 points describing what GOPEL is. This section maps each point to the v0.6.1 PoC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60"/>
        <w:gridCol w:w="1200"/>
        <w:gridCol w:w="480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Pt</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Canonical Point</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v0.6.1 Implementation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Governed Infrastructure</w:t>
            </w:r>
          </w:p>
        </w:tc>
        <w:tc>
          <w:tcPr>
            <w:tcW w:type="dxa" w:w="1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IMPLEMENTED</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pipeline.py, secure_pipeline.py: all data flows through GOPEL dispatch/collect/route/log/pause/hash/report</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RECCLIN-Formatted Requests</w:t>
            </w:r>
          </w:p>
        </w:tc>
        <w:tc>
          <w:tcPr>
            <w:tcW w:type="dxa" w:w="1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IMPLEMENTED</w:t>
            </w:r>
          </w:p>
        </w:tc>
        <w:tc>
          <w:tcPr>
            <w:tcW w:type="dxa" w:w="4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navigator_validator.py: validates 8 required RECCLIN sections; adapters carry structured prompts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Three Operating Models</w:t>
            </w:r>
          </w:p>
        </w:tc>
        <w:tc>
          <w:tcPr>
            <w:tcW w:type="dxa" w:w="1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IMPLEMENTED</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models.py: OperatingModel enum (MODEL_1, MODEL_2, MODEL_3); pipeline.py respects model selection</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4</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Targeted Role Dispatch</w:t>
            </w:r>
          </w:p>
        </w:tc>
        <w:tc>
          <w:tcPr>
            <w:tcW w:type="dxa" w:w="1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IMPLEMENTED</w:t>
            </w:r>
          </w:p>
        </w:tc>
        <w:tc>
          <w:tcPr>
            <w:tcW w:type="dxa" w:w="4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selector.py: PlatformSelector dispatches per RECCLIN role with anchor+rotation protocol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CAIPR Parallel Dispatch</w:t>
            </w:r>
          </w:p>
        </w:tc>
        <w:tc>
          <w:tcPr>
            <w:tcW w:type="dxa" w:w="1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IMPLEMENTED</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pipeline.py: dispatches identical prompt to all selected platforms; selector enforces minimum 3</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6</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Fail-Closed Security</w:t>
            </w:r>
          </w:p>
        </w:tc>
        <w:tc>
          <w:tcPr>
            <w:tcW w:type="dxa" w:w="1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IMPLEMENTED</w:t>
            </w:r>
          </w:p>
        </w:tc>
        <w:tc>
          <w:tcPr>
            <w:tcW w:type="dxa" w:w="4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breach.py: PipelineCircuitBreaker halts on threshold; secure_pipeline.py: CLAUDE-R9 acknowledgment; governance.py: GV5 fail-closed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Cryptographic Audit Trail</w:t>
            </w:r>
          </w:p>
        </w:tc>
        <w:tc>
          <w:tcPr>
            <w:tcW w:type="dxa" w:w="1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IMPLEMENTED</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logger.py: append-only hash-chained records; secure_logger.py: HMAC signing, encryption, witness, file locking</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8</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CPE Profiles</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GAP</w:t>
            </w:r>
          </w:p>
        </w:tc>
        <w:tc>
          <w:tcPr>
            <w:tcW w:type="dxa" w:w="4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Not implemented in v0.6.1. CPE v1.1 is a separate extension targeting v0.7+. No attestation, tokenization, or profile classification exists in current code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Automation Bias Counting</w:t>
            </w:r>
          </w:p>
        </w:tc>
        <w:tc>
          <w:tcPr>
            <w:tcW w:type="dxa" w:w="1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IMPLEMENTED</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logger.py: generate_governance_metrics() counts approval/modify/reject rates; deterministic arithmetic only</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10</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Anchor-Plus-Rotation</w:t>
            </w:r>
          </w:p>
        </w:tc>
        <w:tc>
          <w:tcPr>
            <w:tcW w:type="dxa" w:w="1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IMPLEMENTED</w:t>
            </w:r>
          </w:p>
        </w:tc>
        <w:tc>
          <w:tcPr>
            <w:tcW w:type="dxa" w:w="4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selector.py: anchor assignment per role, cryptographic rotation seed (SecureRotationSeed in security.py)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Governance Packages + CBG</w:t>
            </w:r>
          </w:p>
        </w:tc>
        <w:tc>
          <w:tcPr>
            <w:tcW w:type="dxa" w:w="1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IMPLEMENTED</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pipeline.py: CheckpointPackage assembles raw responses + Navigator synthesis + metadata for human review</w:t>
            </w:r>
          </w:p>
        </w:tc>
      </w:tr>
    </w:tbl>
    <w:p>
      <w:pPr>
        <w:spacing w:after="120"/>
      </w:pPr>
      <w:r>
        <w:rPr>
          <w:rFonts w:ascii="Arial" w:cs="Arial" w:eastAsia="Arial" w:hAnsi="Arial"/>
          <w:sz w:val="22"/>
          <w:szCs w:val="22"/>
        </w:rPr>
        <w:t xml:space="preserve">Result: 10 of 11 canonical points are fully implemented in v0.6.1. Point 8 (CPE Profiles) is a separate extension document with its own version and deployment timeline. The Canonical Description v1.4 references CPE because v1.4 describes the full target architecture, not just the PoC.</w:t>
      </w:r>
    </w:p>
    <w:p>
      <w:r>
        <w:br w:type="page"/>
      </w:r>
    </w:p>
    <w:p>
      <w:pPr>
        <w:pStyle w:val="Heading1"/>
        <w:spacing w:after="120" w:before="360"/>
      </w:pPr>
      <w:r>
        <w:rPr>
          <w:rFonts w:ascii="Arial" w:cs="Arial" w:eastAsia="Arial" w:hAnsi="Arial"/>
          <w:b/>
          <w:bCs/>
        </w:rPr>
        <w:t xml:space="preserve">3. Post-Quantum Cryptographic Agility Amendment v1.2</w:t>
      </w:r>
    </w:p>
    <w:p>
      <w:pPr>
        <w:spacing w:after="120"/>
      </w:pPr>
      <w:r>
        <w:rPr>
          <w:rFonts w:ascii="Arial" w:cs="Arial" w:eastAsia="Arial" w:hAnsi="Arial"/>
          <w:sz w:val="22"/>
          <w:szCs w:val="22"/>
        </w:rPr>
        <w:t xml:space="preserve">The PQ Amendment defines a migration path from classical to post-quantum signing for audit records. It explicitly states (Section 6.1) that the current PoC's HMAC-SHA256 operations are not vulnerable to Shor's algorithm and require no change. Section 6.2 classifies the signing module extension as a v0.7 development target.</w:t>
      </w:r>
    </w:p>
    <w:p>
      <w:pPr>
        <w:pStyle w:val="Heading2"/>
        <w:spacing w:after="120" w:before="240"/>
      </w:pPr>
      <w:r>
        <w:rPr>
          <w:rFonts w:ascii="Arial" w:cs="Arial" w:eastAsia="Arial" w:hAnsi="Arial"/>
          <w:b/>
          <w:bCs/>
        </w:rPr>
        <w:t xml:space="preserve">3.1 Requirement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PQ Requirement</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3-Tier Signature Classification (A/B/C)</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GAP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v0.6.1 uses HMAC-SHA256 only. Asymmetric signing (Ed25519, ML-DSA) not implemented. Amendment Section 6.1 confirms HMAC is not at risk. Tier classification is a v0.7 target.</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ML-DSA-65 Deterministic Signing</w:t>
            </w:r>
          </w:p>
        </w:tc>
        <w:tc>
          <w:tcPr>
            <w:tcW w:type="dxa" w:w="1200"/>
            <w:tcBorders>
              <w:top w:val="single" w:color="CCCCCC" w:sz="1"/>
              <w:left w:val="single" w:color="CCCCCC" w:sz="1"/>
              <w:bottom w:val="single" w:color="CCCCCC" w:sz="1"/>
              <w:right w:val="single" w:color="CCCCCC" w:sz="1"/>
            </w:tcBorders>
            <w:shd w:fill="95A5A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FUTURE</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Tier 3. Requires HSM infrastructure and ML-DSA library integration. Explicitly classified as v0.7 target by Section 6.2.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Composite Ed25519 + ML-DSA (Tier B)</w:t>
            </w:r>
          </w:p>
        </w:tc>
        <w:tc>
          <w:tcPr>
            <w:tcW w:type="dxa" w:w="1200"/>
            <w:tcBorders>
              <w:top w:val="single" w:color="CCCCCC" w:sz="1"/>
              <w:left w:val="single" w:color="CCCCCC" w:sz="1"/>
              <w:bottom w:val="single" w:color="CCCCCC" w:sz="1"/>
              <w:right w:val="single" w:color="CCCCCC" w:sz="1"/>
            </w:tcBorders>
            <w:shd w:fill="95A5A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FUTURE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3. Depends on IETF composite signature draft finalization. Recommended for new deployments starting 2026.</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Metadata Fields: signature_algorithm, public_key_id, canonicalization_version, hash_algorithm</w:t>
            </w:r>
          </w:p>
        </w:tc>
        <w:tc>
          <w:tcPr>
            <w:tcW w:type="dxa" w:w="12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PARTIAL</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v0.6.1 models.py records include content_hash, chain_hash, previous_hash. Missing: signature_algorithm, public_key_id, canonicalization_version, hash_algorithm per-record fields.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External Hash Chain Anchoring (Section 8.2)</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GAP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v0.6.1 has HashWitness (external file witness) but no TSA integration, no public ledger anchoring, no PQ-signed notarization checkpoint.</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Dual-Key Management, No-Key-Reuse Rule</w:t>
            </w:r>
          </w:p>
        </w:tc>
        <w:tc>
          <w:tcPr>
            <w:tcW w:type="dxa" w:w="1200"/>
            <w:tcBorders>
              <w:top w:val="single" w:color="CCCCCC" w:sz="1"/>
              <w:left w:val="single" w:color="CCCCCC" w:sz="1"/>
              <w:bottom w:val="single" w:color="CCCCCC" w:sz="1"/>
              <w:right w:val="single" w:color="CCCCCC" w:sz="1"/>
            </w:tcBorders>
            <w:shd w:fill="95A5A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N/A</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Applies only to Tier B deployments. No Tier B implementation exists in v0.6.1.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Verification Tooling for Historical Records</w:t>
            </w:r>
          </w:p>
        </w:tc>
        <w:tc>
          <w:tcPr>
            <w:tcW w:type="dxa" w:w="1200"/>
            <w:tcBorders>
              <w:top w:val="single" w:color="CCCCCC" w:sz="1"/>
              <w:left w:val="single" w:color="CCCCCC" w:sz="1"/>
              <w:bottom w:val="single" w:color="CCCCCC" w:sz="1"/>
              <w:right w:val="single" w:color="CCCCCC" w:sz="1"/>
            </w:tcBorders>
            <w:shd w:fill="95A5A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N/A</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Operational requirement for deployments that migrate between tiers. Not applicable to PoC.</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HMAC-SHA256 Symmetric Operations</w:t>
            </w:r>
          </w:p>
        </w:tc>
        <w:tc>
          <w:tcPr>
            <w:tcW w:type="dxa" w:w="1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IMPLEMENTED</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Section 6.1 confirms no change required. HMAC-SHA256 is not vulnerable to Shor's algorithm. 128-bit effective margin under Grover's is computationally prohibitive.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SHA-256 Hash Chain</w:t>
            </w:r>
          </w:p>
        </w:tc>
        <w:tc>
          <w:tcPr>
            <w:tcW w:type="dxa" w:w="1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IMPLEMENTED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 8 confirms SHA-256 hash chain retains strong security under quantum attacks. No change required.</w:t>
            </w:r>
          </w:p>
        </w:tc>
      </w:tr>
    </w:tbl>
    <w:p>
      <w:pPr>
        <w:pStyle w:val="Heading2"/>
        <w:spacing w:after="120" w:before="240"/>
      </w:pPr>
      <w:r>
        <w:rPr>
          <w:rFonts w:ascii="Arial" w:cs="Arial" w:eastAsia="Arial" w:hAnsi="Arial"/>
          <w:b/>
          <w:bCs/>
        </w:rPr>
        <w:t xml:space="preserve">3.2 Lockdown Impact</w:t>
      </w:r>
    </w:p>
    <w:p>
      <w:pPr>
        <w:spacing w:after="120"/>
      </w:pPr>
      <w:r>
        <w:rPr>
          <w:rFonts w:ascii="Arial" w:cs="Arial" w:eastAsia="Arial" w:hAnsi="Arial"/>
          <w:sz w:val="22"/>
          <w:szCs w:val="22"/>
        </w:rPr>
        <w:t xml:space="preserve">Zero. The PQ Amendment explicitly confirms that HMAC-SHA256 and SHA-256 operations in v0.6.1 are not at risk. All new requirements target v0.7+ and depend on external infrastructure (HSMs, ML-DSA libraries, TSAs) that do not exist in the reference implementation. The metadata field additions (signature_algorithm, hash_algorithm) should be noted for the v0.7 roadmap but do not block lockdown.</w:t>
      </w:r>
    </w:p>
    <w:p>
      <w:pPr>
        <w:pBdr>
          <w:left w:val="single" w:color="2E75B6" w:sz="6" w:space="8"/>
        </w:pBdr>
        <w:spacing w:after="40" w:before="80"/>
        <w:ind w:left="360"/>
      </w:pPr>
      <w:r>
        <w:rPr>
          <w:rFonts w:ascii="Arial" w:cs="Arial" w:eastAsia="Arial" w:hAnsi="Arial"/>
          <w:b/>
          <w:bCs/>
          <w:color w:val="2E75B6"/>
          <w:sz w:val="20"/>
          <w:szCs w:val="20"/>
        </w:rPr>
        <w:t xml:space="preserve">Fact: </w:t>
      </w:r>
      <w:r>
        <w:rPr>
          <w:rFonts w:ascii="Arial" w:cs="Arial" w:eastAsia="Arial" w:hAnsi="Arial"/>
          <w:sz w:val="20"/>
          <w:szCs w:val="20"/>
        </w:rPr>
        <w:t xml:space="preserve">PQ Amendment Section 6.1 confirms v0.6.1 HMAC-SHA256 operations require no change; Section 6.2 classifies signing module as v0.7 target.</w:t>
      </w:r>
    </w:p>
    <w:p>
      <w:pPr>
        <w:pBdr>
          <w:left w:val="single" w:color="2E75B6" w:sz="6" w:space="8"/>
        </w:pBdr>
        <w:spacing w:after="40" w:before="0"/>
        <w:ind w:left="360"/>
      </w:pPr>
      <w:r>
        <w:rPr>
          <w:rFonts w:ascii="Arial" w:cs="Arial" w:eastAsia="Arial" w:hAnsi="Arial"/>
          <w:b/>
          <w:bCs/>
          <w:color w:val="2E75B6"/>
          <w:sz w:val="20"/>
          <w:szCs w:val="20"/>
        </w:rPr>
        <w:t xml:space="preserve">Tactic: </w:t>
      </w:r>
      <w:r>
        <w:rPr>
          <w:rFonts w:ascii="Arial" w:cs="Arial" w:eastAsia="Arial" w:hAnsi="Arial"/>
          <w:sz w:val="20"/>
          <w:szCs w:val="20"/>
        </w:rPr>
        <w:t xml:space="preserve">Lock down v0.6.1 with current HMAC-SHA256; add metadata field stubs to v0.7 roadmap for forward compatibility.</w:t>
      </w:r>
    </w:p>
    <w:p>
      <w:pPr>
        <w:pBdr>
          <w:left w:val="single" w:color="2E75B6" w:sz="6" w:space="8"/>
        </w:pBdr>
        <w:spacing w:after="120" w:before="0"/>
        <w:ind w:left="360"/>
      </w:pPr>
      <w:r>
        <w:rPr>
          <w:rFonts w:ascii="Arial" w:cs="Arial" w:eastAsia="Arial" w:hAnsi="Arial"/>
          <w:b/>
          <w:bCs/>
          <w:color w:val="2E75B6"/>
          <w:sz w:val="20"/>
          <w:szCs w:val="20"/>
        </w:rPr>
        <w:t xml:space="preserve">KPI: </w:t>
      </w:r>
      <w:r>
        <w:rPr>
          <w:rFonts w:ascii="Arial" w:cs="Arial" w:eastAsia="Arial" w:hAnsi="Arial"/>
          <w:sz w:val="20"/>
          <w:szCs w:val="20"/>
        </w:rPr>
        <w:t xml:space="preserve">0 PQ-related changes required for v0.6.1 lockdown; v0.7 roadmap includes 4 metadata fields and signing module.</w:t>
      </w:r>
    </w:p>
    <w:p>
      <w:r>
        <w:br w:type="page"/>
      </w:r>
    </w:p>
    <w:p>
      <w:pPr>
        <w:pStyle w:val="Heading1"/>
        <w:spacing w:after="120" w:before="360"/>
      </w:pPr>
      <w:r>
        <w:rPr>
          <w:rFonts w:ascii="Arial" w:cs="Arial" w:eastAsia="Arial" w:hAnsi="Arial"/>
          <w:b/>
          <w:bCs/>
        </w:rPr>
        <w:t xml:space="preserve">4. Confidential Processing Extension (CPE) v1.1</w:t>
      </w:r>
    </w:p>
    <w:p>
      <w:pPr>
        <w:spacing w:after="120"/>
      </w:pPr>
      <w:r>
        <w:rPr>
          <w:rFonts w:ascii="Arial" w:cs="Arial" w:eastAsia="Arial" w:hAnsi="Arial"/>
          <w:sz w:val="22"/>
          <w:szCs w:val="22"/>
        </w:rPr>
        <w:t xml:space="preserve">The CPE defines a four-profile classification system governing privacy during computation. It introduces three new audit record types (Privacy Attestation Record, Minimization Record, Unverified Processing Record) and extends the Dispatch operation with pre-dispatch attestation verification and tokenization.</w:t>
      </w:r>
    </w:p>
    <w:p>
      <w:pPr>
        <w:pStyle w:val="Heading2"/>
        <w:spacing w:after="120" w:before="240"/>
      </w:pPr>
      <w:r>
        <w:rPr>
          <w:rFonts w:ascii="Arial" w:cs="Arial" w:eastAsia="Arial" w:hAnsi="Arial"/>
          <w:b/>
          <w:bCs/>
        </w:rPr>
        <w:t xml:space="preserve">4.1 Requirement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CPE Requirement</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Profile 0: Opaque External Processing</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GAP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v0.6.1 dispatches to opaque endpoints but has no profile classification, no Unverified Processing Record, and no sensitivity-gated Pause.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Profile 1: Attested Confidential Inference</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GAP</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 TEE attestation, measurement allowlist, freshness nonce, or signed inference receipt in v0.6.1. Requires platform cooperation.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Profile 2: Minimized External (Tokenization)</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GAP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tokenization ruleset, pattern-based PII transformation, or token map management in v0.6.1.</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Profile 3: Cryptographic Inference (FHE/SMPC)</w:t>
            </w:r>
          </w:p>
        </w:tc>
        <w:tc>
          <w:tcPr>
            <w:tcW w:type="dxa" w:w="1200"/>
            <w:tcBorders>
              <w:top w:val="single" w:color="CCCCCC" w:sz="1"/>
              <w:left w:val="single" w:color="CCCCCC" w:sz="1"/>
              <w:bottom w:val="single" w:color="CCCCCC" w:sz="1"/>
              <w:right w:val="single" w:color="CCCCCC" w:sz="1"/>
            </w:tcBorders>
            <w:shd w:fill="95A5A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FUTURE</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Explicitly Tier 3 with minimum 5-year horizon. Research-stage only.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Catch-All Enforcement Matrix</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GAP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endpoint capability registry, no data sensitivity labels, no profile assignment matrix in v0.6.1.</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Trust Store and Configuration Management</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GAP</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 attestation trust store, vendor root certificates, or measurement allowlist in v0.6.1.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New Audit Record Types</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GAP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v0.6.1 models.py defines 7 record types. CPE adds 3 more. Pydantic models for these do not exist.</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Non-Cognitive Constraint Preserved</w:t>
            </w:r>
          </w:p>
        </w:tc>
        <w:tc>
          <w:tcPr>
            <w:tcW w:type="dxa" w:w="1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IMPLEMENTED</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CPE Section 6 confirms all checks are binary/deterministic. Compatible with v0.6.1 architecture.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Fail-Closed Defaults</w:t>
            </w:r>
          </w:p>
        </w:tc>
        <w:tc>
          <w:tcPr>
            <w:tcW w:type="dxa" w:w="12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PARTIAL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v0.6.1 has fail-closed in PolicyEngine (GV5) and CircuitBreaker. CPE's specific fail-closed (missing label defaults to regulated) not implemented.</w:t>
            </w:r>
          </w:p>
        </w:tc>
      </w:tr>
    </w:tbl>
    <w:p>
      <w:pPr>
        <w:pStyle w:val="Heading2"/>
        <w:spacing w:after="120" w:before="240"/>
      </w:pPr>
      <w:r>
        <w:rPr>
          <w:rFonts w:ascii="Arial" w:cs="Arial" w:eastAsia="Arial" w:hAnsi="Arial"/>
          <w:b/>
          <w:bCs/>
        </w:rPr>
        <w:t xml:space="preserve">4.2 Lockdown Impact</w:t>
      </w:r>
    </w:p>
    <w:p>
      <w:pPr>
        <w:spacing w:after="120"/>
      </w:pPr>
      <w:r>
        <w:rPr>
          <w:rFonts w:ascii="Arial" w:cs="Arial" w:eastAsia="Arial" w:hAnsi="Arial"/>
          <w:sz w:val="22"/>
          <w:szCs w:val="22"/>
        </w:rPr>
        <w:t xml:space="preserve">Zero for v0.6.1 lockdown. The CPE is a v1.1 extension document that defines capabilities for production deployments. Its own deployment path (Section 10) specifies Phase 1 as 2026 for Profile 0 and Profile 2, Phase 2 as 2026 to 2027 for Profile 1 with enterprise agreements, and Phase 4 as 2030+ for Profile 3. The CPE does not retroactively require changes to the PoC. It defines what the next major version must implement.</w:t>
      </w:r>
    </w:p>
    <w:p>
      <w:pPr>
        <w:spacing w:after="120"/>
      </w:pPr>
      <w:r>
        <w:rPr>
          <w:rFonts w:ascii="Arial" w:cs="Arial" w:eastAsia="Arial" w:hAnsi="Arial"/>
          <w:sz w:val="22"/>
          <w:szCs w:val="22"/>
        </w:rPr>
        <w:t xml:space="preserve">The architectural compatibility is confirmed: CPE's deterministic binary checks (signature valid/invalid, measurement match/mismatch, nonce match/mismatch, TCB sufficient/insufficient) align with v0.6.1's existing non-cognitive verification patterns. The extension can be implemented on top of the locked-down v0.6.1 architecture without modifying the core seven operations.</w:t>
      </w:r>
    </w:p>
    <w:p>
      <w:pPr>
        <w:pBdr>
          <w:left w:val="single" w:color="2E75B6" w:sz="6" w:space="8"/>
        </w:pBdr>
        <w:spacing w:after="40" w:before="80"/>
        <w:ind w:left="360"/>
      </w:pPr>
      <w:r>
        <w:rPr>
          <w:rFonts w:ascii="Arial" w:cs="Arial" w:eastAsia="Arial" w:hAnsi="Arial"/>
          <w:b/>
          <w:bCs/>
          <w:color w:val="2E75B6"/>
          <w:sz w:val="20"/>
          <w:szCs w:val="20"/>
        </w:rPr>
        <w:t xml:space="preserve">Fact: </w:t>
      </w:r>
      <w:r>
        <w:rPr>
          <w:rFonts w:ascii="Arial" w:cs="Arial" w:eastAsia="Arial" w:hAnsi="Arial"/>
          <w:sz w:val="20"/>
          <w:szCs w:val="20"/>
        </w:rPr>
        <w:t xml:space="preserve">CPE v1.1 defines 7 new requirements, 0 of which apply to v0.6.1; its own deployment path starts at Phase 1 (2026) for Profiles 0 and 2.</w:t>
      </w:r>
    </w:p>
    <w:p>
      <w:pPr>
        <w:pBdr>
          <w:left w:val="single" w:color="2E75B6" w:sz="6" w:space="8"/>
        </w:pBdr>
        <w:spacing w:after="40" w:before="0"/>
        <w:ind w:left="360"/>
      </w:pPr>
      <w:r>
        <w:rPr>
          <w:rFonts w:ascii="Arial" w:cs="Arial" w:eastAsia="Arial" w:hAnsi="Arial"/>
          <w:b/>
          <w:bCs/>
          <w:color w:val="2E75B6"/>
          <w:sz w:val="20"/>
          <w:szCs w:val="20"/>
        </w:rPr>
        <w:t xml:space="preserve">Tactic: </w:t>
      </w:r>
      <w:r>
        <w:rPr>
          <w:rFonts w:ascii="Arial" w:cs="Arial" w:eastAsia="Arial" w:hAnsi="Arial"/>
          <w:sz w:val="20"/>
          <w:szCs w:val="20"/>
        </w:rPr>
        <w:t xml:space="preserve">Lock down v0.6.1 without CPE changes; create CPE implementation plan for v0.7 roadmap.</w:t>
      </w:r>
    </w:p>
    <w:p>
      <w:pPr>
        <w:pBdr>
          <w:left w:val="single" w:color="2E75B6" w:sz="6" w:space="8"/>
        </w:pBdr>
        <w:spacing w:after="120" w:before="0"/>
        <w:ind w:left="360"/>
      </w:pPr>
      <w:r>
        <w:rPr>
          <w:rFonts w:ascii="Arial" w:cs="Arial" w:eastAsia="Arial" w:hAnsi="Arial"/>
          <w:b/>
          <w:bCs/>
          <w:color w:val="2E75B6"/>
          <w:sz w:val="20"/>
          <w:szCs w:val="20"/>
        </w:rPr>
        <w:t xml:space="preserve">KPI: </w:t>
      </w:r>
      <w:r>
        <w:rPr>
          <w:rFonts w:ascii="Arial" w:cs="Arial" w:eastAsia="Arial" w:hAnsi="Arial"/>
          <w:sz w:val="20"/>
          <w:szCs w:val="20"/>
        </w:rPr>
        <w:t xml:space="preserve">0 CPE-related changes required for v0.6.1 lockdown; v0.7 roadmap includes Profile 0/2 as first targets.</w:t>
      </w:r>
    </w:p>
    <w:p>
      <w:r>
        <w:br w:type="page"/>
      </w:r>
    </w:p>
    <w:p>
      <w:pPr>
        <w:pStyle w:val="Heading1"/>
        <w:spacing w:after="120" w:before="360"/>
      </w:pPr>
      <w:r>
        <w:rPr>
          <w:rFonts w:ascii="Arial" w:cs="Arial" w:eastAsia="Arial" w:hAnsi="Arial"/>
          <w:b/>
          <w:bCs/>
        </w:rPr>
        <w:t xml:space="preserve">5. Checkpoint Information Chain Extension (CICE) v1.2</w:t>
      </w:r>
    </w:p>
    <w:p>
      <w:pPr>
        <w:spacing w:after="120"/>
      </w:pPr>
      <w:r>
        <w:rPr>
          <w:rFonts w:ascii="Arial" w:cs="Arial" w:eastAsia="Arial" w:hAnsi="Arial"/>
          <w:sz w:val="22"/>
          <w:szCs w:val="22"/>
        </w:rPr>
        <w:t xml:space="preserve">The CICE addresses three gaps in the checkpoint governance chain: no deterministic metadata comparison between platform responses and Navigator synthesis (Gap A), no Navigator plurality specification (Gap B), and no checkpoint cognitive load management at production scale (Gap C). It introduces DMC (Deterministic Metadata Comparison), NPP (Navigator Plurality Protocol), and EDB (Explicit Delegation Boundaries) with the constitutional wall principle.</w:t>
      </w:r>
    </w:p>
    <w:p>
      <w:pPr>
        <w:pStyle w:val="Heading2"/>
        <w:spacing w:after="120" w:before="240"/>
      </w:pPr>
      <w:r>
        <w:rPr>
          <w:rFonts w:ascii="Arial" w:cs="Arial" w:eastAsia="Arial" w:hAnsi="Arial"/>
          <w:b/>
          <w:bCs/>
        </w:rPr>
        <w:t xml:space="preserve">5.1 Requirement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CICE Requirement</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DMC: Confidence Divergence Check</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GAP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v0.6.1 navigator_validator.py checks structural format (8 sections) but does not compare confidence values across Response Records vs Navigation Record.</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DMC: Convergence Ratio Verification</w:t>
            </w:r>
          </w:p>
        </w:tc>
        <w:tc>
          <w:tcPr>
            <w:tcW w:type="dxa" w:w="12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PARTIAL</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v0.6.1 logs all platform responses and Navigator synthesis. Composite key matching for convergence does not exist as a function.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DMC: Inclusion Count Verification</w:t>
            </w:r>
          </w:p>
        </w:tc>
        <w:tc>
          <w:tcPr>
            <w:tcW w:type="dxa" w:w="12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PARTIAL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v0.6.1 pipeline logs platform_selections in RequestRecord. Count comparison function against NavigationRecord not implemented.</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DMC: Conflict Suppression Detection</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GAP</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 function compares conflict field population across Response Records vs Navigation Record.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DMC: Source Count Verification</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GAP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cross-record source counting function exists.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DMC: Anomaly Classification (G/Y/R)</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GAP</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 anomaly classification system. All checkpoints treated uniformly.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SPC: Statistical Process Control</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GAP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drift monitoring, misclassification tracking, or adaptive sampling in v0.6.1.</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NPP: Navigator Plurality Protocol</w:t>
            </w:r>
          </w:p>
        </w:tc>
        <w:tc>
          <w:tcPr>
            <w:tcW w:type="dxa" w:w="1200"/>
            <w:tcBorders>
              <w:top w:val="single" w:color="CCCCCC" w:sz="1"/>
              <w:left w:val="single" w:color="CCCCCC" w:sz="1"/>
              <w:bottom w:val="single" w:color="CCCCCC" w:sz="1"/>
              <w:right w:val="single" w:color="CCCCCC" w:sz="1"/>
            </w:tcBorders>
            <w:shd w:fill="95A5A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FUTURE</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GOPEL v0.6.1 uses single Navigator. Plurality named as Tier 3 development target in GOPEL PoC v3.1.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EDB: Constitutional Wall + Delegation Records</w:t>
            </w:r>
          </w:p>
        </w:tc>
        <w:tc>
          <w:tcPr>
            <w:tcW w:type="dxa" w:w="1200"/>
            <w:tcBorders>
              <w:top w:val="single" w:color="CCCCCC" w:sz="1"/>
              <w:left w:val="single" w:color="CCCCCC" w:sz="1"/>
              <w:bottom w:val="single" w:color="CCCCCC" w:sz="1"/>
              <w:right w:val="single" w:color="CCCCCC" w:sz="1"/>
            </w:tcBorders>
            <w:shd w:fill="95A5A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FUTURE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Delegation Record, no triage classification, no checkpoint fatigue detection. Governance architecture concept.</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Tesseract Protocol Integration</w:t>
            </w:r>
          </w:p>
        </w:tc>
        <w:tc>
          <w:tcPr>
            <w:tcW w:type="dxa" w:w="1200"/>
            <w:tcBorders>
              <w:top w:val="single" w:color="CCCCCC" w:sz="1"/>
              <w:left w:val="single" w:color="CCCCCC" w:sz="1"/>
              <w:bottom w:val="single" w:color="CCCCCC" w:sz="1"/>
              <w:right w:val="single" w:color="CCCCCC" w:sz="1"/>
            </w:tcBorders>
            <w:shd w:fill="95A5A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FUTURE</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Active collaboration target with Olbinski. Not a v0.6.1 requirement.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Non-Cognitive Constraint Preserved</w:t>
            </w:r>
          </w:p>
        </w:tc>
        <w:tc>
          <w:tcPr>
            <w:tcW w:type="dxa" w:w="1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IMPLEMENTED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CICE Section 2 confirms all DMC functions use arithmetic only. Compatible with v0.6.1 architecture.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Audit Trail Integrity Preserved</w:t>
            </w:r>
          </w:p>
        </w:tc>
        <w:tc>
          <w:tcPr>
            <w:tcW w:type="dxa" w:w="1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IMPLEMENTED</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CICE Section 2 confirms all new records are hash-chained identically to existing types.</w:t>
            </w:r>
          </w:p>
        </w:tc>
      </w:tr>
    </w:tbl>
    <w:p>
      <w:pPr>
        <w:pStyle w:val="Heading2"/>
        <w:spacing w:after="120" w:before="240"/>
      </w:pPr>
      <w:r>
        <w:rPr>
          <w:rFonts w:ascii="Arial" w:cs="Arial" w:eastAsia="Arial" w:hAnsi="Arial"/>
          <w:b/>
          <w:bCs/>
        </w:rPr>
        <w:t xml:space="preserve">5.2 Lockdown Impact</w:t>
      </w:r>
    </w:p>
    <w:p>
      <w:pPr>
        <w:spacing w:after="120"/>
      </w:pPr>
      <w:r>
        <w:rPr>
          <w:rFonts w:ascii="Arial" w:cs="Arial" w:eastAsia="Arial" w:hAnsi="Arial"/>
          <w:sz w:val="22"/>
          <w:szCs w:val="22"/>
        </w:rPr>
        <w:t xml:space="preserve">Zero for v0.6.1 lockdown. The CICE is explicitly a specification document, not a code implementation. Section 7 states that implementation against the GOPEL proof of concept codebase (v0.6.1) is a separate development target. The DMC comparison functions are the most implementation-ready component and could be the first post-lockdown addition (v0.7 target). NPP and EDB are governance architecture concepts that require operational experience to calibrate thresholds.</w:t>
      </w:r>
    </w:p>
    <w:p>
      <w:pPr>
        <w:spacing w:after="120"/>
      </w:pPr>
      <w:r>
        <w:rPr>
          <w:rFonts w:ascii="Arial" w:cs="Arial" w:eastAsia="Arial" w:hAnsi="Arial"/>
          <w:sz w:val="22"/>
          <w:szCs w:val="22"/>
        </w:rPr>
        <w:t xml:space="preserve">The CICE's most significant contribution is the constitutional wall framing, which describes a governance principle (not a code requirement) that the human arbiter must explicitly delegate review authority rather than silently degrading through checkpoint fatigue. This principle is already honored by v0.6.1's CheckpointPackage design, which always delivers the full governance package. The CICE makes the principle explicit and adds structural enforcement for production scale.</w:t>
      </w:r>
    </w:p>
    <w:p>
      <w:pPr>
        <w:pBdr>
          <w:left w:val="single" w:color="2E75B6" w:sz="6" w:space="8"/>
        </w:pBdr>
        <w:spacing w:after="40" w:before="80"/>
        <w:ind w:left="360"/>
      </w:pPr>
      <w:r>
        <w:rPr>
          <w:rFonts w:ascii="Arial" w:cs="Arial" w:eastAsia="Arial" w:hAnsi="Arial"/>
          <w:b/>
          <w:bCs/>
          <w:color w:val="2E75B6"/>
          <w:sz w:val="20"/>
          <w:szCs w:val="20"/>
        </w:rPr>
        <w:t xml:space="preserve">Fact: </w:t>
      </w:r>
      <w:r>
        <w:rPr>
          <w:rFonts w:ascii="Arial" w:cs="Arial" w:eastAsia="Arial" w:hAnsi="Arial"/>
          <w:sz w:val="20"/>
          <w:szCs w:val="20"/>
        </w:rPr>
        <w:t xml:space="preserve">CICE v1.2 Section 7 explicitly classifies code implementation as a separate development target from the specification.</w:t>
      </w:r>
    </w:p>
    <w:p>
      <w:pPr>
        <w:pBdr>
          <w:left w:val="single" w:color="2E75B6" w:sz="6" w:space="8"/>
        </w:pBdr>
        <w:spacing w:after="40" w:before="0"/>
        <w:ind w:left="360"/>
      </w:pPr>
      <w:r>
        <w:rPr>
          <w:rFonts w:ascii="Arial" w:cs="Arial" w:eastAsia="Arial" w:hAnsi="Arial"/>
          <w:b/>
          <w:bCs/>
          <w:color w:val="2E75B6"/>
          <w:sz w:val="20"/>
          <w:szCs w:val="20"/>
        </w:rPr>
        <w:t xml:space="preserve">Tactic: </w:t>
      </w:r>
      <w:r>
        <w:rPr>
          <w:rFonts w:ascii="Arial" w:cs="Arial" w:eastAsia="Arial" w:hAnsi="Arial"/>
          <w:sz w:val="20"/>
          <w:szCs w:val="20"/>
        </w:rPr>
        <w:t xml:space="preserve">Lock down v0.6.1 without CICE changes; target DMC comparison functions as first post-lockdown addition in v0.7.</w:t>
      </w:r>
    </w:p>
    <w:p>
      <w:pPr>
        <w:pBdr>
          <w:left w:val="single" w:color="2E75B6" w:sz="6" w:space="8"/>
        </w:pBdr>
        <w:spacing w:after="120" w:before="0"/>
        <w:ind w:left="360"/>
      </w:pPr>
      <w:r>
        <w:rPr>
          <w:rFonts w:ascii="Arial" w:cs="Arial" w:eastAsia="Arial" w:hAnsi="Arial"/>
          <w:b/>
          <w:bCs/>
          <w:color w:val="2E75B6"/>
          <w:sz w:val="20"/>
          <w:szCs w:val="20"/>
        </w:rPr>
        <w:t xml:space="preserve">KPI: </w:t>
      </w:r>
      <w:r>
        <w:rPr>
          <w:rFonts w:ascii="Arial" w:cs="Arial" w:eastAsia="Arial" w:hAnsi="Arial"/>
          <w:sz w:val="20"/>
          <w:szCs w:val="20"/>
        </w:rPr>
        <w:t xml:space="preserve">0 CICE-related changes required for v0.6.1 lockdown; v0.7 roadmap includes 5 DMC functions as first targets.</w:t>
      </w:r>
    </w:p>
    <w:p>
      <w:r>
        <w:br w:type="page"/>
      </w:r>
    </w:p>
    <w:p>
      <w:pPr>
        <w:pStyle w:val="Heading1"/>
        <w:spacing w:after="120" w:before="360"/>
      </w:pPr>
      <w:r>
        <w:rPr>
          <w:rFonts w:ascii="Arial" w:cs="Arial" w:eastAsia="Arial" w:hAnsi="Arial"/>
          <w:b/>
          <w:bCs/>
        </w:rPr>
        <w:t xml:space="preserve">6. Cross-Document Synthesis</w:t>
      </w:r>
    </w:p>
    <w:p>
      <w:pPr>
        <w:pStyle w:val="Heading2"/>
        <w:spacing w:after="120" w:before="240"/>
      </w:pPr>
      <w:r>
        <w:rPr>
          <w:rFonts w:ascii="Arial" w:cs="Arial" w:eastAsia="Arial" w:hAnsi="Arial"/>
          <w:b/>
          <w:bCs/>
        </w:rPr>
        <w:t xml:space="preserve">6.1 What v0.6.1 Already Implements Correctly</w:t>
      </w:r>
    </w:p>
    <w:p>
      <w:pPr>
        <w:spacing w:after="120"/>
      </w:pPr>
      <w:r>
        <w:rPr>
          <w:rFonts w:ascii="Arial" w:cs="Arial" w:eastAsia="Arial" w:hAnsi="Arial"/>
          <w:sz w:val="22"/>
          <w:szCs w:val="22"/>
        </w:rPr>
        <w:t xml:space="preserve">The v0.6.1 PoC implements the core GOPEL architecture with high fidelity. The seven deterministic operations (dispatch, collect, route, log, pause, hash, report) are fully functional. The hash-chained, append-only audit trail with HMAC signing and encryption at rest works correctly. The anchor-plus-rotation platform selection with cryptographic randomization is implemented. The three operating models, RECCLIN-formatted output validation, fail-closed circuit breaker, governance metrics counting, and checkpoint package assembly all function as specified. The sentinel system (pipeline identity, heartbeat, challenge-response, OOB alerts) provides runtime integrity verification.</w:t>
      </w:r>
    </w:p>
    <w:p>
      <w:pPr>
        <w:spacing w:after="120"/>
      </w:pPr>
      <w:r>
        <w:rPr>
          <w:rFonts w:ascii="Arial" w:cs="Arial" w:eastAsia="Arial" w:hAnsi="Arial"/>
          <w:sz w:val="22"/>
          <w:szCs w:val="22"/>
        </w:rPr>
        <w:t xml:space="preserve">The 11 security findings from the Security Review Report are structural hardening issues within this correctly implemented core, not architectural gaps against the specification.</w:t>
      </w:r>
    </w:p>
    <w:p>
      <w:pPr>
        <w:pStyle w:val="Heading2"/>
        <w:spacing w:after="120" w:before="240"/>
      </w:pPr>
      <w:r>
        <w:rPr>
          <w:rFonts w:ascii="Arial" w:cs="Arial" w:eastAsia="Arial" w:hAnsi="Arial"/>
          <w:b/>
          <w:bCs/>
        </w:rPr>
        <w:t xml:space="preserve">6.2 What the Extensions Add (Post-Lockdown)</w:t>
      </w:r>
    </w:p>
    <w:p>
      <w:pPr>
        <w:spacing w:after="120"/>
      </w:pPr>
      <w:r>
        <w:rPr>
          <w:rFonts w:ascii="Arial" w:cs="Arial" w:eastAsia="Arial" w:hAnsi="Arial"/>
          <w:sz w:val="22"/>
          <w:szCs w:val="22"/>
        </w:rPr>
        <w:t xml:space="preserve">The three extension documents define three distinct capability layers that build on top of the locked-down core:</w:t>
      </w:r>
    </w:p>
    <w:p>
      <w:pPr>
        <w:pStyle w:val="ListParagraph"/>
        <w:numPr>
          <w:ilvl w:val="0"/>
          <w:numId w:val="2"/>
        </w:numPr>
      </w:pPr>
      <w:r>
        <w:rPr>
          <w:rFonts w:ascii="Arial" w:cs="Arial" w:eastAsia="Arial" w:hAnsi="Arial"/>
          <w:sz w:val="22"/>
          <w:szCs w:val="22"/>
        </w:rPr>
        <w:t xml:space="preserve">Cryptographic future-proofing (PQ Amendment): Adds post-quantum signature tiers for long-term audit record authenticity. Implementation requires HSM infrastructure, ML-DSA library integration, and TSA/anchoring services. Estimated effort: significant, infrastructure-dependent.</w:t>
      </w:r>
    </w:p>
    <w:p>
      <w:pPr>
        <w:pStyle w:val="ListParagraph"/>
        <w:numPr>
          <w:ilvl w:val="0"/>
          <w:numId w:val="2"/>
        </w:numPr>
      </w:pPr>
      <w:r>
        <w:rPr>
          <w:rFonts w:ascii="Arial" w:cs="Arial" w:eastAsia="Arial" w:hAnsi="Arial"/>
          <w:sz w:val="22"/>
          <w:szCs w:val="22"/>
        </w:rPr>
        <w:t xml:space="preserve">Privacy during computation (CPE): Adds attestation verification, tokenization, and profile classification for every dispatch. Implementation requires platform cooperation (attestation APIs), tokenization rulesets, and trust store management. Estimated effort: major feature development.</w:t>
      </w:r>
    </w:p>
    <w:p>
      <w:pPr>
        <w:pStyle w:val="ListParagraph"/>
        <w:numPr>
          <w:ilvl w:val="0"/>
          <w:numId w:val="2"/>
        </w:numPr>
      </w:pPr>
      <w:r>
        <w:rPr>
          <w:rFonts w:ascii="Arial" w:cs="Arial" w:eastAsia="Arial" w:hAnsi="Arial"/>
          <w:sz w:val="22"/>
          <w:szCs w:val="22"/>
        </w:rPr>
        <w:t xml:space="preserve">Checkpoint governance (CICE): Adds deterministic metadata comparison, Navigator plurality, and explicit delegation boundaries. Implementation requires DMC comparison functions, anomaly classification, and SPC monitoring. Estimated effort: moderate for DMC, significant for NPP/EDB.</w:t>
      </w:r>
    </w:p>
    <w:p>
      <w:pPr>
        <w:pStyle w:val="Heading2"/>
        <w:spacing w:after="120" w:before="240"/>
      </w:pPr>
      <w:r>
        <w:rPr>
          <w:rFonts w:ascii="Arial" w:cs="Arial" w:eastAsia="Arial" w:hAnsi="Arial"/>
          <w:b/>
          <w:bCs/>
        </w:rPr>
        <w:t xml:space="preserve">6.3 Lockdown Strategy Confirmation</w:t>
      </w:r>
    </w:p>
    <w:p>
      <w:pPr>
        <w:spacing w:after="120"/>
      </w:pPr>
      <w:r>
        <w:rPr>
          <w:rFonts w:ascii="Arial" w:cs="Arial" w:eastAsia="Arial" w:hAnsi="Arial"/>
          <w:sz w:val="22"/>
          <w:szCs w:val="22"/>
        </w:rPr>
        <w:t xml:space="preserve">The four specification documents confirm rather than change the lockdown strategy:</w:t>
      </w:r>
    </w:p>
    <w:p>
      <w:pPr>
        <w:pStyle w:val="ListParagraph"/>
        <w:numPr>
          <w:ilvl w:val="0"/>
          <w:numId w:val="2"/>
        </w:numPr>
      </w:pPr>
      <w:r>
        <w:rPr>
          <w:rFonts w:ascii="Arial" w:cs="Arial" w:eastAsia="Arial" w:hAnsi="Arial"/>
          <w:sz w:val="22"/>
          <w:szCs w:val="22"/>
        </w:rPr>
        <w:t xml:space="preserve">Step 1: Implement the 11 security fixes from the Security Review Report (SEC-01 through SEC-11). These harden the existing core that implements the Canonical Description.</w:t>
      </w:r>
    </w:p>
    <w:p>
      <w:pPr>
        <w:pStyle w:val="ListParagraph"/>
        <w:numPr>
          <w:ilvl w:val="0"/>
          <w:numId w:val="2"/>
        </w:numPr>
      </w:pPr>
      <w:r>
        <w:rPr>
          <w:rFonts w:ascii="Arial" w:cs="Arial" w:eastAsia="Arial" w:hAnsi="Arial"/>
          <w:sz w:val="22"/>
          <w:szCs w:val="22"/>
        </w:rPr>
        <w:t xml:space="preserve">Step 2: Run all 183+ tests, confirm zero regressions, run targeted tests for each fix.</w:t>
      </w:r>
    </w:p>
    <w:p>
      <w:pPr>
        <w:pStyle w:val="ListParagraph"/>
        <w:numPr>
          <w:ilvl w:val="0"/>
          <w:numId w:val="2"/>
        </w:numPr>
      </w:pPr>
      <w:r>
        <w:rPr>
          <w:rFonts w:ascii="Arial" w:cs="Arial" w:eastAsia="Arial" w:hAnsi="Arial"/>
          <w:sz w:val="22"/>
          <w:szCs w:val="22"/>
        </w:rPr>
        <w:t xml:space="preserve">Step 3: Version bump to v0.6.2 (hardened lockdown release). GOPEL enters isolation.</w:t>
      </w:r>
    </w:p>
    <w:p>
      <w:pPr>
        <w:pStyle w:val="ListParagraph"/>
        <w:numPr>
          <w:ilvl w:val="0"/>
          <w:numId w:val="2"/>
        </w:numPr>
      </w:pPr>
      <w:r>
        <w:rPr>
          <w:rFonts w:ascii="Arial" w:cs="Arial" w:eastAsia="Arial" w:hAnsi="Arial"/>
          <w:sz w:val="22"/>
          <w:szCs w:val="22"/>
        </w:rPr>
        <w:t xml:space="preserve">Step 4: Overwatch alignment analysis against the locked-down v0.6.2 codebase.</w:t>
      </w:r>
    </w:p>
    <w:p>
      <w:pPr>
        <w:pStyle w:val="ListParagraph"/>
        <w:numPr>
          <w:ilvl w:val="0"/>
          <w:numId w:val="2"/>
        </w:numPr>
      </w:pPr>
      <w:r>
        <w:rPr>
          <w:rFonts w:ascii="Arial" w:cs="Arial" w:eastAsia="Arial" w:hAnsi="Arial"/>
          <w:sz w:val="22"/>
          <w:szCs w:val="22"/>
        </w:rPr>
        <w:t xml:space="preserve">Step 5: v0.7 roadmap begins with CPE Profile 0/2, DMC comparison functions, and PQ metadata field stubs.</w:t>
      </w:r>
    </w:p>
    <w:p>
      <w:r>
        <w:br w:type="page"/>
      </w:r>
    </w:p>
    <w:p>
      <w:pPr>
        <w:pStyle w:val="Heading1"/>
        <w:spacing w:after="120" w:before="360"/>
      </w:pPr>
      <w:r>
        <w:rPr>
          <w:rFonts w:ascii="Arial" w:cs="Arial" w:eastAsia="Arial" w:hAnsi="Arial"/>
          <w:b/>
          <w:bCs/>
        </w:rPr>
        <w:t xml:space="preserve">7. Recommended v0.7 Roadmap Priorities</w:t>
      </w:r>
    </w:p>
    <w:p>
      <w:pPr>
        <w:spacing w:after="120"/>
      </w:pPr>
      <w:r>
        <w:rPr>
          <w:rFonts w:ascii="Arial" w:cs="Arial" w:eastAsia="Arial" w:hAnsi="Arial"/>
          <w:sz w:val="22"/>
          <w:szCs w:val="22"/>
        </w:rPr>
        <w:t xml:space="preserve">Based on the gap analysis, the following implementation priorities are recommended for v0.7 (post-lockdown), ordered by specification readiness and deployment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60"/>
        <w:gridCol w:w="1500"/>
        <w:gridCol w:w="1500"/>
        <w:gridCol w:w="250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DMC Comparison Functions (5 checks)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CICE</w:t>
            </w:r>
          </w:p>
        </w:tc>
        <w:tc>
          <w:tcPr>
            <w:tcW w:type="dxa" w:w="15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Pure arithmetic on existing records.</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w:t>
            </w:r>
          </w:p>
        </w:tc>
        <w:tc>
          <w:tcPr>
            <w:tcW w:type="dxa" w:w="3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DMC Anomaly Classification (G/Y/R)</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CICE</w:t>
            </w:r>
          </w:p>
        </w:tc>
        <w:tc>
          <w:tcPr>
            <w:tcW w:type="dxa" w:w="15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Depends on #1.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CPE Profile 0 (Unverified Processing Record)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CPE</w:t>
            </w:r>
          </w:p>
        </w:tc>
        <w:tc>
          <w:tcPr>
            <w:tcW w:type="dxa" w:w="15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Classification of existing behavior.</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4</w:t>
            </w:r>
          </w:p>
        </w:tc>
        <w:tc>
          <w:tcPr>
            <w:tcW w:type="dxa" w:w="3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CPE Profile 2 (Tokenization)</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CPE</w:t>
            </w:r>
          </w:p>
        </w:tc>
        <w:tc>
          <w:tcPr>
            <w:tcW w:type="dxa" w:w="15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MEDIUM</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Requires tokenization ruleset design.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PQ Metadata Fields (4 new record fields)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PQ Amend.</w:t>
            </w:r>
          </w:p>
        </w:tc>
        <w:tc>
          <w:tcPr>
            <w:tcW w:type="dxa" w:w="15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MEDIUM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Pydantic model extension only.</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6</w:t>
            </w:r>
          </w:p>
        </w:tc>
        <w:tc>
          <w:tcPr>
            <w:tcW w:type="dxa" w:w="3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External Hash Anchoring (TSA integration)</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PQ Amend.</w:t>
            </w:r>
          </w:p>
        </w:tc>
        <w:tc>
          <w:tcPr>
            <w:tcW w:type="dxa" w:w="15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MEDIUM</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Requires external TSA service.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CPE Profile 1 (TEE Attestation)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CPE</w:t>
            </w:r>
          </w:p>
        </w:tc>
        <w:tc>
          <w:tcPr>
            <w:tcW w:type="dxa" w:w="15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LOW</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 cooperation required.</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8</w:t>
            </w:r>
          </w:p>
        </w:tc>
        <w:tc>
          <w:tcPr>
            <w:tcW w:type="dxa" w:w="3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SPC Monitoring (4 drift detectors)</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CICE</w:t>
            </w:r>
          </w:p>
        </w:tc>
        <w:tc>
          <w:tcPr>
            <w:tcW w:type="dxa" w:w="15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LOW</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Depends on #1, #2.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NPP (Navigator Plurality)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CICE</w:t>
            </w:r>
          </w:p>
        </w:tc>
        <w:tc>
          <w:tcPr>
            <w:tcW w:type="dxa" w:w="1500"/>
            <w:tcBorders>
              <w:top w:val="single" w:color="CCCCCC" w:sz="1"/>
              <w:left w:val="single" w:color="CCCCCC" w:sz="1"/>
              <w:bottom w:val="single" w:color="CCCCCC" w:sz="1"/>
              <w:right w:val="single" w:color="CCCCCC" w:sz="1"/>
            </w:tcBorders>
            <w:shd w:fill="95A5A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FUTURE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3 development target.</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10</w:t>
            </w:r>
          </w:p>
        </w:tc>
        <w:tc>
          <w:tcPr>
            <w:tcW w:type="dxa" w:w="3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EDB (Delegation Records)</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CICE</w:t>
            </w:r>
          </w:p>
        </w:tc>
        <w:tc>
          <w:tcPr>
            <w:tcW w:type="dxa" w:w="1500"/>
            <w:tcBorders>
              <w:top w:val="single" w:color="CCCCCC" w:sz="1"/>
              <w:left w:val="single" w:color="CCCCCC" w:sz="1"/>
              <w:bottom w:val="single" w:color="CCCCCC" w:sz="1"/>
              <w:right w:val="single" w:color="CCCCCC" w:sz="1"/>
            </w:tcBorders>
            <w:shd w:fill="95A5A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FUTURE</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Requires operational experience.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Asymmetric Signing Module (Tiers A/B/C)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PQ Amend.</w:t>
            </w:r>
          </w:p>
        </w:tc>
        <w:tc>
          <w:tcPr>
            <w:tcW w:type="dxa" w:w="1500"/>
            <w:tcBorders>
              <w:top w:val="single" w:color="CCCCCC" w:sz="1"/>
              <w:left w:val="single" w:color="CCCCCC" w:sz="1"/>
              <w:bottom w:val="single" w:color="CCCCCC" w:sz="1"/>
              <w:right w:val="single" w:color="CCCCCC" w:sz="1"/>
            </w:tcBorders>
            <w:shd w:fill="95A5A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FUTURE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HSM infrastructure required.</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12</w:t>
            </w:r>
          </w:p>
        </w:tc>
        <w:tc>
          <w:tcPr>
            <w:tcW w:type="dxa" w:w="3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CPE Profile 3 (FHE/SMPC)</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CPE</w:t>
            </w:r>
          </w:p>
        </w:tc>
        <w:tc>
          <w:tcPr>
            <w:tcW w:type="dxa" w:w="1500"/>
            <w:tcBorders>
              <w:top w:val="single" w:color="CCCCCC" w:sz="1"/>
              <w:left w:val="single" w:color="CCCCCC" w:sz="1"/>
              <w:bottom w:val="single" w:color="CCCCCC" w:sz="1"/>
              <w:right w:val="single" w:color="CCCCCC" w:sz="1"/>
            </w:tcBorders>
            <w:shd w:fill="95A5A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FUTURE</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5+ year horizon.</w:t>
            </w:r>
          </w:p>
        </w:tc>
      </w:tr>
    </w:tbl>
    <w:p>
      <w:r>
        <w:br w:type="page"/>
      </w:r>
    </w:p>
    <w:p>
      <w:pPr>
        <w:pStyle w:val="Heading1"/>
        <w:spacing w:after="120" w:before="360"/>
      </w:pPr>
      <w:r>
        <w:rPr>
          <w:rFonts w:ascii="Arial" w:cs="Arial" w:eastAsia="Arial" w:hAnsi="Arial"/>
          <w:b/>
          <w:bCs/>
        </w:rPr>
        <w:t xml:space="preserve">8. Sources, Conflicts, and Decision</w:t>
      </w:r>
    </w:p>
    <w:p>
      <w:pPr>
        <w:pStyle w:val="Heading2"/>
        <w:spacing w:after="120" w:before="240"/>
      </w:pPr>
      <w:r>
        <w:rPr>
          <w:rFonts w:ascii="Arial" w:cs="Arial" w:eastAsia="Arial" w:hAnsi="Arial"/>
          <w:b/>
          <w:bCs/>
        </w:rPr>
        <w:t xml:space="preserve">8.1 Sources</w:t>
      </w:r>
    </w:p>
    <w:p>
      <w:pPr>
        <w:pStyle w:val="ListParagraph"/>
        <w:numPr>
          <w:ilvl w:val="0"/>
          <w:numId w:val="2"/>
        </w:numPr>
      </w:pPr>
      <w:r>
        <w:rPr>
          <w:rFonts w:ascii="Arial" w:cs="Arial" w:eastAsia="Arial" w:hAnsi="Arial"/>
          <w:sz w:val="22"/>
          <w:szCs w:val="22"/>
        </w:rPr>
        <w:t xml:space="preserve">GOPEL Canonical Public Description v1.4, Basil C. Puglisi, MPA, March 2026 (primary specification)</w:t>
      </w:r>
    </w:p>
    <w:p>
      <w:pPr>
        <w:pStyle w:val="ListParagraph"/>
        <w:numPr>
          <w:ilvl w:val="0"/>
          <w:numId w:val="2"/>
        </w:numPr>
      </w:pPr>
      <w:r>
        <w:rPr>
          <w:rFonts w:ascii="Arial" w:cs="Arial" w:eastAsia="Arial" w:hAnsi="Arial"/>
          <w:sz w:val="22"/>
          <w:szCs w:val="22"/>
        </w:rPr>
        <w:t xml:space="preserve">GOPEL Post-Quantum Cryptographic Agility Amendment v1.2, Basil C. Puglisi, MPA, March 2026 (PQ extension)</w:t>
      </w:r>
    </w:p>
    <w:p>
      <w:pPr>
        <w:pStyle w:val="ListParagraph"/>
        <w:numPr>
          <w:ilvl w:val="0"/>
          <w:numId w:val="2"/>
        </w:numPr>
      </w:pPr>
      <w:r>
        <w:rPr>
          <w:rFonts w:ascii="Arial" w:cs="Arial" w:eastAsia="Arial" w:hAnsi="Arial"/>
          <w:sz w:val="22"/>
          <w:szCs w:val="22"/>
        </w:rPr>
        <w:t xml:space="preserve">GOPEL Confidential Processing Extension (CPE) v1.1, Basil C. Puglisi, MPA, March 2026 (privacy extension)</w:t>
      </w:r>
    </w:p>
    <w:p>
      <w:pPr>
        <w:pStyle w:val="ListParagraph"/>
        <w:numPr>
          <w:ilvl w:val="0"/>
          <w:numId w:val="2"/>
        </w:numPr>
      </w:pPr>
      <w:r>
        <w:rPr>
          <w:rFonts w:ascii="Arial" w:cs="Arial" w:eastAsia="Arial" w:hAnsi="Arial"/>
          <w:sz w:val="22"/>
          <w:szCs w:val="22"/>
        </w:rPr>
        <w:t xml:space="preserve">GOPEL Checkpoint Information Chain Extension (CICE) v1.2, Basil C. Puglisi, MPA, March 2026 (checkpoint governance)</w:t>
      </w:r>
    </w:p>
    <w:p>
      <w:pPr>
        <w:pStyle w:val="ListParagraph"/>
        <w:numPr>
          <w:ilvl w:val="0"/>
          <w:numId w:val="2"/>
        </w:numPr>
      </w:pPr>
      <w:r>
        <w:rPr>
          <w:rFonts w:ascii="Arial" w:cs="Arial" w:eastAsia="Arial" w:hAnsi="Arial"/>
          <w:sz w:val="22"/>
          <w:szCs w:val="22"/>
        </w:rPr>
        <w:t xml:space="preserve">GOPEL v0.6.1 reference implementation source code, 14 production modules (implementation baseline)</w:t>
      </w:r>
    </w:p>
    <w:p>
      <w:pPr>
        <w:pStyle w:val="ListParagraph"/>
        <w:numPr>
          <w:ilvl w:val="0"/>
          <w:numId w:val="2"/>
        </w:numPr>
      </w:pPr>
      <w:r>
        <w:rPr>
          <w:rFonts w:ascii="Arial" w:cs="Arial" w:eastAsia="Arial" w:hAnsi="Arial"/>
          <w:sz w:val="22"/>
          <w:szCs w:val="22"/>
        </w:rPr>
        <w:t xml:space="preserve">GOPEL v0.6.1 Security Review Report, May 9, 2026 (security findings baseline)</w:t>
      </w:r>
    </w:p>
    <w:p>
      <w:pPr>
        <w:pStyle w:val="Heading2"/>
        <w:spacing w:after="120" w:before="240"/>
      </w:pPr>
      <w:r>
        <w:rPr>
          <w:rFonts w:ascii="Arial" w:cs="Arial" w:eastAsia="Arial" w:hAnsi="Arial"/>
          <w:b/>
          <w:bCs/>
        </w:rPr>
        <w:t xml:space="preserve">8.2 Conflicts</w:t>
      </w:r>
    </w:p>
    <w:p>
      <w:pPr>
        <w:spacing w:after="120"/>
      </w:pPr>
      <w:r>
        <w:rPr>
          <w:rFonts w:ascii="Arial" w:cs="Arial" w:eastAsia="Arial" w:hAnsi="Arial"/>
          <w:sz w:val="22"/>
          <w:szCs w:val="22"/>
        </w:rPr>
        <w:t xml:space="preserve">One version alignment issue was identified: the Canonical Description v1.4 references the Canonical version as v1.4, while the CICE v1.2 references GOPEL v1.5 and GOPEL Proof of Concept v3.1. The reference implementation under review is v0.6.1. These version numbers describe different layers of the GOPEL ecosystem: the Canonical Description describes the architectural specification (v1.4/v1.5), the CICE references the PoC specification document (v3.1), and the reference implementation carries its own version (v0.6.1). This is a documentation convention, not a conflict. All four documents are consistent in their architectural requirements.</w:t>
      </w:r>
    </w:p>
    <w:p>
      <w:pPr>
        <w:spacing w:after="120"/>
      </w:pPr>
      <w:r>
        <w:rPr>
          <w:rFonts w:ascii="Arial" w:cs="Arial" w:eastAsia="Arial" w:hAnsi="Arial"/>
          <w:sz w:val="22"/>
          <w:szCs w:val="22"/>
        </w:rPr>
        <w:t xml:space="preserve">No substantive conflicts were identified between any of the four specification documents or between the specifications and the v0.6.1 implementation. All three extensions explicitly preserve the seven deterministic operations, the non-cognitive constraint, and the hash-chained audit trail.</w:t>
      </w:r>
    </w:p>
    <w:p>
      <w:pPr>
        <w:pStyle w:val="Heading2"/>
        <w:spacing w:after="120" w:before="240"/>
      </w:pPr>
      <w:r>
        <w:rPr>
          <w:rFonts w:ascii="Arial" w:cs="Arial" w:eastAsia="Arial" w:hAnsi="Arial"/>
          <w:b/>
          <w:bCs/>
        </w:rPr>
        <w:t xml:space="preserve">8.3 Decision Point</w:t>
      </w:r>
    </w:p>
    <w:p>
      <w:pPr>
        <w:spacing w:after="80"/>
      </w:pPr>
      <w:r>
        <w:rPr>
          <w:rFonts w:ascii="Arial" w:cs="Arial" w:eastAsia="Arial" w:hAnsi="Arial"/>
          <w:b/>
          <w:bCs/>
          <w:sz w:val="22"/>
          <w:szCs w:val="22"/>
        </w:rPr>
        <w:t xml:space="preserve">Human Arbiter: </w:t>
      </w:r>
      <w:r>
        <w:rPr>
          <w:rFonts w:ascii="Arial" w:cs="Arial" w:eastAsia="Arial" w:hAnsi="Arial"/>
          <w:sz w:val="22"/>
          <w:szCs w:val="22"/>
        </w:rPr>
        <w:t xml:space="preserve">Basil C. Puglisi, MPA</w:t>
      </w:r>
    </w:p>
    <w:p>
      <w:pPr>
        <w:pBdr>
          <w:left w:val="single" w:color="2E75B6" w:sz="8" w:space="12"/>
        </w:pBdr>
        <w:spacing w:after="120" w:before="120"/>
        <w:ind w:left="240"/>
      </w:pPr>
      <w:r>
        <w:rPr>
          <w:rFonts w:ascii="Arial" w:cs="Arial" w:eastAsia="Arial" w:hAnsi="Arial"/>
          <w:b/>
          <w:bCs/>
          <w:sz w:val="22"/>
          <w:szCs w:val="22"/>
        </w:rPr>
        <w:t xml:space="preserve">Decision Required: </w:t>
      </w:r>
      <w:r>
        <w:rPr>
          <w:rFonts w:ascii="Arial" w:cs="Arial" w:eastAsia="Arial" w:hAnsi="Arial"/>
          <w:sz w:val="22"/>
          <w:szCs w:val="22"/>
        </w:rPr>
        <w:t xml:space="preserve">Confirm that the four specification documents do not add requirements to the v0.6.1 lockdown scope. Approve proceeding with the 11 security fixes (SEC-01 through SEC-11) as the complete pre-lockdown work list. Approve the v0.7 roadmap priorities for post-lockdown extension implementation. Alternatively, identify specific extension requirements that should be pulled into the v0.6.2 lockdown release.</w:t>
      </w:r>
    </w:p>
    <w:p>
      <w:pPr>
        <w:pStyle w:val="Heading2"/>
        <w:spacing w:after="120" w:before="240"/>
      </w:pPr>
      <w:r>
        <w:rPr>
          <w:rFonts w:ascii="Arial" w:cs="Arial" w:eastAsia="Arial" w:hAnsi="Arial"/>
          <w:b/>
          <w:bCs/>
        </w:rPr>
        <w:t xml:space="preserve">8.4 Recommendation</w:t>
      </w:r>
    </w:p>
    <w:p>
      <w:pPr>
        <w:spacing w:after="120"/>
      </w:pPr>
      <w:r>
        <w:rPr>
          <w:rFonts w:ascii="Arial" w:cs="Arial" w:eastAsia="Arial" w:hAnsi="Arial"/>
          <w:sz w:val="22"/>
          <w:szCs w:val="22"/>
        </w:rPr>
        <w:t xml:space="preserve">Lock down v0.6.1 with the 11 security fixes only. The specification extensions are well-designed, thoroughly reviewed (10+ AI platforms across CAIPR reviews), and architecturally compatible with the existing codebase. They define the future, not the present fix list. Pulling extension requirements into the lockdown release would delay hardening of the core that everything else depends on.</w:t>
      </w:r>
    </w:p>
    <w:p>
      <w:pPr>
        <w:spacing w:before="200"/>
      </w:pPr>
    </w:p>
    <w:p>
      <w:pPr>
        <w:spacing w:after="120"/>
      </w:pPr>
      <w:r>
        <w:rPr>
          <w:rFonts w:ascii="Arial" w:cs="Arial" w:eastAsia="Arial" w:hAnsi="Arial"/>
          <w:i/>
          <w:iCs/>
          <w:color w:val="999999"/>
          <w:sz w:val="22"/>
          <w:szCs w:val="22"/>
        </w:rPr>
        <w:t xml:space="preserve">End of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color w:val="999999"/>
        <w:sz w:val="18"/>
        <w:szCs w:val="18"/>
      </w:rPr>
      <w:t xml:space="preserve">GOPEL Specification Gap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2026-05-09T04:47:23.299Z</dcterms:created>
  <dcterms:modified xsi:type="dcterms:W3CDTF">2026-05-09T04:47:23.299Z</dcterms:modified>
</cp:coreProperties>
</file>

<file path=docProps/custom.xml><?xml version="1.0" encoding="utf-8"?>
<Properties xmlns="http://schemas.openxmlformats.org/officeDocument/2006/custom-properties" xmlns:vt="http://schemas.openxmlformats.org/officeDocument/2006/docPropsVTypes"/>
</file>