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Arial" w:cs="Arial" w:eastAsia="Arial" w:hAnsi="Arial"/>
          <w:color w:val="999999"/>
          <w:sz w:val="20"/>
          <w:szCs w:val="20"/>
        </w:rPr>
        <w:t xml:space="preserve">HAIA Policy Document 6</w:t>
      </w:r>
    </w:p>
    <w:p>
      <w:pPr>
        <w:spacing w:after="120"/>
        <w:jc w:val="center"/>
      </w:pPr>
      <w:r>
        <w:rPr>
          <w:rFonts w:ascii="Arial" w:cs="Arial" w:eastAsia="Arial" w:hAnsi="Arial"/>
          <w:b/>
          <w:bCs/>
          <w:color w:val="1B3A5C"/>
          <w:sz w:val="40"/>
          <w:szCs w:val="40"/>
        </w:rPr>
        <w:t xml:space="preserve">Overwatch: The Cognitive Monitoring Shield</w:t>
      </w:r>
    </w:p>
    <w:p>
      <w:pPr>
        <w:spacing w:after="80"/>
        <w:jc w:val="center"/>
      </w:pPr>
      <w:r>
        <w:rPr>
          <w:rFonts w:ascii="Arial" w:cs="Arial" w:eastAsia="Arial" w:hAnsi="Arial"/>
          <w:color w:val="3A6B96"/>
          <w:sz w:val="26"/>
          <w:szCs w:val="26"/>
        </w:rPr>
        <w:t xml:space="preserve">Part of the HAIA Governance Triangle</w:t>
      </w:r>
    </w:p>
    <w:p>
      <w:pPr>
        <w:spacing w:after="40"/>
        <w:jc w:val="center"/>
      </w:pPr>
      <w:r>
        <w:rPr>
          <w:rFonts w:ascii="Arial" w:cs="Arial" w:eastAsia="Arial" w:hAnsi="Arial"/>
          <w:color w:val="777777"/>
          <w:sz w:val="20"/>
          <w:szCs w:val="20"/>
        </w:rPr>
        <w:t xml:space="preserve">Basil C. Puglisi, MPA  |  May 2026  |  Proof of Concept v2.2</w:t>
      </w:r>
    </w:p>
    <w:p>
      <w:pPr>
        <w:pBdr>
          <w:bottom w:val="single" w:color="1B3A5C" w:sz="6" w:space="8"/>
        </w:pBdr>
        <w:spacing w:after="300"/>
      </w:pPr>
    </w:p>
    <w:p>
      <w:pPr>
        <w:pStyle w:val="Heading1"/>
      </w:pPr>
      <w:r>
        <w:rPr>
          <w:rFonts w:ascii="Arial" w:cs="Arial" w:eastAsia="Arial" w:hAnsi="Arial"/>
        </w:rPr>
        <w:t xml:space="preserve">1. What Is Overwatch?</w:t>
      </w:r>
    </w:p>
    <w:p>
      <w:pPr>
        <w:spacing w:after="120"/>
      </w:pPr>
      <w:r>
        <w:rPr>
          <w:rFonts w:ascii="Arial" w:cs="Arial" w:eastAsia="Arial" w:hAnsi="Arial"/>
          <w:sz w:val="22"/>
          <w:szCs w:val="22"/>
        </w:rPr>
        <w:t xml:space="preserve">Overwatch is the cognitive monitoring layer of the HAIA (Human-AI Interaction Architecture) Governance Triangle. It observes AI pipeline operations and GOPEL enforcement records in real time, applying pattern analysis and anomaly detection to identify threats that deterministic rules alone cannot catch.</w:t>
      </w:r>
    </w:p>
    <w:p>
      <w:pPr>
        <w:spacing w:after="120"/>
      </w:pPr>
      <w:r>
        <w:rPr>
          <w:rFonts w:ascii="Arial" w:cs="Arial" w:eastAsia="Arial" w:hAnsi="Arial"/>
          <w:b/>
          <w:bCs/>
          <w:sz w:val="22"/>
          <w:szCs w:val="22"/>
        </w:rPr>
        <w:t xml:space="preserve">Key principle: </w:t>
      </w:r>
      <w:r>
        <w:rPr>
          <w:rFonts w:ascii="Arial" w:cs="Arial" w:eastAsia="Arial" w:hAnsi="Arial"/>
          <w:sz w:val="22"/>
          <w:szCs w:val="22"/>
        </w:rPr>
        <w:t xml:space="preserve">Overwatch observes but never mutates. It reads governance records and AI outputs, classifies risks, and escalates alerts to human operators. It never modifies the GOPEL enforcement chain, never alters audit records, and never makes final governance decisions. This one-way information flow is a security invariant: even a fully compromised Overwatch cannot tamper with the governance record.</w:t>
      </w:r>
    </w:p>
    <w:p>
      <w:pPr>
        <w:pStyle w:val="Heading1"/>
      </w:pPr>
      <w:r>
        <w:rPr>
          <w:rFonts w:ascii="Arial" w:cs="Arial" w:eastAsia="Arial" w:hAnsi="Arial"/>
        </w:rPr>
        <w:t xml:space="preserve">2. The Governance Triangle</w:t>
      </w:r>
    </w:p>
    <w:p>
      <w:pPr>
        <w:spacing w:after="120"/>
      </w:pPr>
      <w:r>
        <w:rPr>
          <w:rFonts w:ascii="Arial" w:cs="Arial" w:eastAsia="Arial" w:hAnsi="Arial"/>
          <w:sz w:val="22"/>
          <w:szCs w:val="22"/>
        </w:rPr>
        <w:t xml:space="preserve">AI security requires three distinct capabilities that no single system can provide. The HAIA Governance Triangle distributes governance across three independent, mutually constraining vertices: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Vertex</w:t>
            </w:r>
          </w:p>
        </w:tc>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51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Security Role</w:t>
            </w:r>
          </w:p>
        </w:tc>
      </w:tr>
      <w:tr>
        <w:tc>
          <w:tcPr>
            <w:tcW w:type="dxa" w:w="2000"/>
            <w:tcBorders>
              <w:top w:val="single" w:color="BBBBBB" w:sz="1"/>
              <w:left w:val="single" w:color="BBBBBB" w:sz="1"/>
              <w:bottom w:val="single" w:color="BBBBBB" w:sz="1"/>
              <w:right w:val="single" w:color="BBBBBB" w:sz="1"/>
            </w:tcBorders>
            <w:shd w:fill="CCE5FF" w:val="clear"/>
            <w:tcMar>
              <w:top w:type="dxa" w:w="80"/>
              <w:left w:type="dxa" w:w="120"/>
              <w:bottom w:type="dxa" w:w="80"/>
              <w:right w:type="dxa" w:w="120"/>
            </w:tcMar>
          </w:tcPr>
          <w:p>
            <w:pPr>
              <w:spacing w:after="40"/>
            </w:pPr>
            <w:r>
              <w:rPr>
                <w:rFonts w:ascii="Arial" w:cs="Arial" w:eastAsia="Arial" w:hAnsi="Arial"/>
                <w:sz w:val="20"/>
                <w:szCs w:val="20"/>
              </w:rPr>
              <w:t xml:space="preserve">GOPEL</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Enforces</w:t>
            </w:r>
          </w:p>
        </w:tc>
        <w:tc>
          <w:tcPr>
            <w:tcW w:type="dxa" w:w="5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Non-cognitive, deterministic policy enforcement. Immune to prompt injection. Provides cryptographic audit chain, operator signing, and evidence gates.</w:t>
            </w:r>
          </w:p>
        </w:tc>
      </w:tr>
      <w:tr>
        <w:tc>
          <w:tcPr>
            <w:tcW w:type="dxa" w:w="2000"/>
            <w:tcBorders>
              <w:top w:val="single" w:color="BBBBBB" w:sz="1"/>
              <w:left w:val="single" w:color="BBBBBB" w:sz="1"/>
              <w:bottom w:val="single" w:color="BBBBBB" w:sz="1"/>
              <w:right w:val="single" w:color="BBBBBB" w:sz="1"/>
            </w:tcBorders>
            <w:shd w:fill="D4EDDA" w:val="clear"/>
            <w:tcMar>
              <w:top w:type="dxa" w:w="80"/>
              <w:left w:type="dxa" w:w="120"/>
              <w:bottom w:type="dxa" w:w="80"/>
              <w:right w:type="dxa" w:w="120"/>
            </w:tcMar>
          </w:tcPr>
          <w:p>
            <w:pPr>
              <w:spacing w:after="40"/>
            </w:pPr>
            <w:r>
              <w:rPr>
                <w:rFonts w:ascii="Arial" w:cs="Arial" w:eastAsia="Arial" w:hAnsi="Arial"/>
                <w:sz w:val="20"/>
                <w:szCs w:val="20"/>
              </w:rPr>
              <w:t xml:space="preserve">Overwatch</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Monitors</w:t>
            </w:r>
          </w:p>
        </w:tc>
        <w:tc>
          <w:tcPr>
            <w:tcW w:type="dxa" w:w="5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Cognitive threat detection. Analyzes prompts for injection, evaluates outputs for drift, verifies GOPEL source integrity, and escalates anomalies.</w:t>
            </w:r>
          </w:p>
        </w:tc>
      </w:tr>
      <w:tr>
        <w:tc>
          <w:tcPr>
            <w:tcW w:type="dxa" w:w="2000"/>
            <w:tcBorders>
              <w:top w:val="single" w:color="BBBBBB" w:sz="1"/>
              <w:left w:val="single" w:color="BBBBBB" w:sz="1"/>
              <w:bottom w:val="single" w:color="BBBBBB" w:sz="1"/>
              <w:right w:val="single" w:color="BBBBBB" w:sz="1"/>
            </w:tcBorders>
            <w:shd w:fill="FFF3CD" w:val="clear"/>
            <w:tcMar>
              <w:top w:type="dxa" w:w="80"/>
              <w:left w:type="dxa" w:w="120"/>
              <w:bottom w:type="dxa" w:w="80"/>
              <w:right w:type="dxa" w:w="120"/>
            </w:tcMar>
          </w:tcPr>
          <w:p>
            <w:pPr>
              <w:spacing w:after="40"/>
            </w:pPr>
            <w:r>
              <w:rPr>
                <w:rFonts w:ascii="Arial" w:cs="Arial" w:eastAsia="Arial" w:hAnsi="Arial"/>
                <w:sz w:val="20"/>
                <w:szCs w:val="20"/>
              </w:rPr>
              <w:t xml:space="preserve">Human Checkpoints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Arbitrates</w:t>
            </w:r>
          </w:p>
        </w:tc>
        <w:tc>
          <w:tcPr>
            <w:tcW w:type="dxa" w:w="5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Mandatory human judgment at critical decision points. Resolves escalations, detects semantic drift, and provides contextual reasoning.</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Modeled on constitutional checks and balances, no single vertex can unilaterally override the others. GOPEL cannot suppress Overwatch alerts. Overwatch cannot modify GOPEL records. Humans cannot retroactively alter the cryptographic audit trail. This mutual constraint ensures that compromise of any single vertex does not compromise governance as a whole.</w:t>
      </w:r>
    </w:p>
    <w:p>
      <w:pPr>
        <w:pStyle w:val="Heading1"/>
      </w:pPr>
      <w:r>
        <w:rPr>
          <w:rFonts w:ascii="Arial" w:cs="Arial" w:eastAsia="Arial" w:hAnsi="Arial"/>
        </w:rPr>
        <w:t xml:space="preserve">3. What Overwatch Does</w:t>
      </w:r>
    </w:p>
    <w:p>
      <w:pPr>
        <w:spacing w:after="120"/>
      </w:pPr>
      <w:r>
        <w:rPr>
          <w:rFonts w:ascii="Arial" w:cs="Arial" w:eastAsia="Arial" w:hAnsi="Arial"/>
          <w:b/>
          <w:bCs/>
          <w:sz w:val="22"/>
          <w:szCs w:val="22"/>
        </w:rPr>
        <w:t xml:space="preserve">Intent Analysis: </w:t>
      </w:r>
      <w:r>
        <w:rPr>
          <w:rFonts w:ascii="Arial" w:cs="Arial" w:eastAsia="Arial" w:hAnsi="Arial"/>
          <w:sz w:val="22"/>
          <w:szCs w:val="22"/>
        </w:rPr>
        <w:t xml:space="preserve">Scans incoming prompts for injection patterns, delimiter attacks, role manipulation, and social engineering before they reach the AI model.</w:t>
      </w:r>
    </w:p>
    <w:p>
      <w:pPr>
        <w:spacing w:after="120"/>
      </w:pPr>
      <w:r>
        <w:rPr>
          <w:rFonts w:ascii="Arial" w:cs="Arial" w:eastAsia="Arial" w:hAnsi="Arial"/>
          <w:b/>
          <w:bCs/>
          <w:sz w:val="22"/>
          <w:szCs w:val="22"/>
        </w:rPr>
        <w:t xml:space="preserve">Output Evaluation: </w:t>
      </w:r>
      <w:r>
        <w:rPr>
          <w:rFonts w:ascii="Arial" w:cs="Arial" w:eastAsia="Arial" w:hAnsi="Arial"/>
          <w:sz w:val="22"/>
          <w:szCs w:val="22"/>
        </w:rPr>
        <w:t xml:space="preserve">Analyzes model responses for hallucination indicators, confidence anomalies, and behavioral drift beyond acceptable boundaries.</w:t>
      </w:r>
    </w:p>
    <w:p>
      <w:pPr>
        <w:spacing w:after="120"/>
      </w:pPr>
      <w:r>
        <w:rPr>
          <w:rFonts w:ascii="Arial" w:cs="Arial" w:eastAsia="Arial" w:hAnsi="Arial"/>
          <w:b/>
          <w:bCs/>
          <w:sz w:val="22"/>
          <w:szCs w:val="22"/>
        </w:rPr>
        <w:t xml:space="preserve">Structural Verification: </w:t>
      </w:r>
      <w:r>
        <w:rPr>
          <w:rFonts w:ascii="Arial" w:cs="Arial" w:eastAsia="Arial" w:hAnsi="Arial"/>
          <w:sz w:val="22"/>
          <w:szCs w:val="22"/>
        </w:rPr>
        <w:t xml:space="preserve">Computes SHA-256 hashes of GOPEL source files and verifies them against signed deployment manifests, detecting supply chain tampering.</w:t>
      </w:r>
    </w:p>
    <w:p>
      <w:pPr>
        <w:spacing w:after="120"/>
      </w:pPr>
      <w:r>
        <w:rPr>
          <w:rFonts w:ascii="Arial" w:cs="Arial" w:eastAsia="Arial" w:hAnsi="Arial"/>
          <w:b/>
          <w:bCs/>
          <w:sz w:val="22"/>
          <w:szCs w:val="22"/>
        </w:rPr>
        <w:t xml:space="preserve">Provenance Tracking: </w:t>
      </w:r>
      <w:r>
        <w:rPr>
          <w:rFonts w:ascii="Arial" w:cs="Arial" w:eastAsia="Arial" w:hAnsi="Arial"/>
          <w:sz w:val="22"/>
          <w:szCs w:val="22"/>
        </w:rPr>
        <w:t xml:space="preserve">Assigns trust tiers to data elements based on origin, transformation history, and chain of custody.</w:t>
      </w:r>
    </w:p>
    <w:p>
      <w:pPr>
        <w:spacing w:after="120"/>
      </w:pPr>
      <w:r>
        <w:rPr>
          <w:rFonts w:ascii="Arial" w:cs="Arial" w:eastAsia="Arial" w:hAnsi="Arial"/>
          <w:b/>
          <w:bCs/>
          <w:sz w:val="22"/>
          <w:szCs w:val="22"/>
        </w:rPr>
        <w:t xml:space="preserve">Random Audit: </w:t>
      </w:r>
      <w:r>
        <w:rPr>
          <w:rFonts w:ascii="Arial" w:cs="Arial" w:eastAsia="Arial" w:hAnsi="Arial"/>
          <w:sz w:val="22"/>
          <w:szCs w:val="22"/>
        </w:rPr>
        <w:t xml:space="preserve">Probabilistic deep inspection of transactions. Any transaction may be audited, creating deterrence against sophisticated adversaries.</w:t>
      </w:r>
    </w:p>
    <w:p>
      <w:pPr>
        <w:spacing w:after="120"/>
      </w:pPr>
      <w:r>
        <w:rPr>
          <w:rFonts w:ascii="Arial" w:cs="Arial" w:eastAsia="Arial" w:hAnsi="Arial"/>
          <w:b/>
          <w:bCs/>
          <w:sz w:val="22"/>
          <w:szCs w:val="22"/>
        </w:rPr>
        <w:t xml:space="preserve">Escalation Management: </w:t>
      </w:r>
      <w:r>
        <w:rPr>
          <w:rFonts w:ascii="Arial" w:cs="Arial" w:eastAsia="Arial" w:hAnsi="Arial"/>
          <w:sz w:val="22"/>
          <w:szCs w:val="22"/>
        </w:rPr>
        <w:t xml:space="preserve">Five severity levels (NORMAL through LOCKDOWN) with defined response actions and notification chains.</w:t>
      </w:r>
    </w:p>
    <w:p>
      <w:pPr>
        <w:pStyle w:val="Heading1"/>
      </w:pPr>
      <w:r>
        <w:rPr>
          <w:rFonts w:ascii="Arial" w:cs="Arial" w:eastAsia="Arial" w:hAnsi="Arial"/>
        </w:rPr>
        <w:t xml:space="preserve">4. How the Triangle Addresses AI Threats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c>
          <w:tcPr>
            <w:tcW w:type="dxa" w:w="24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Threat</w:t>
            </w:r>
          </w:p>
        </w:tc>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Primary Defense</w:t>
            </w:r>
          </w:p>
        </w:tc>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Secondary</w:t>
            </w:r>
          </w:p>
        </w:tc>
        <w:tc>
          <w:tcPr>
            <w:tcW w:type="dxa" w:w="25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Prompt injection</w:t>
            </w:r>
          </w:p>
        </w:tc>
        <w:tc>
          <w:tcPr>
            <w:tcW w:type="dxa" w:w="2200"/>
            <w:tcBorders>
              <w:top w:val="single" w:color="BBBBBB" w:sz="1"/>
              <w:left w:val="single" w:color="BBBBBB" w:sz="1"/>
              <w:bottom w:val="single" w:color="BBBBBB" w:sz="1"/>
              <w:right w:val="single" w:color="BBBBBB" w:sz="1"/>
            </w:tcBorders>
            <w:shd w:fill="D4EDDA" w:val="clear"/>
            <w:tcMar>
              <w:top w:type="dxa" w:w="80"/>
              <w:left w:type="dxa" w:w="120"/>
              <w:bottom w:type="dxa" w:w="80"/>
              <w:right w:type="dxa" w:w="120"/>
            </w:tcMar>
          </w:tcPr>
          <w:p>
            <w:pPr>
              <w:spacing w:after="40"/>
            </w:pPr>
            <w:r>
              <w:rPr>
                <w:rFonts w:ascii="Arial" w:cs="Arial" w:eastAsia="Arial" w:hAnsi="Arial"/>
                <w:sz w:val="20"/>
                <w:szCs w:val="20"/>
              </w:rPr>
              <w:t xml:space="preserve">Overwatch</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GOPEL + Human</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Cognitive analysis detects attack patterns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Supply chain attacks</w:t>
            </w:r>
          </w:p>
        </w:tc>
        <w:tc>
          <w:tcPr>
            <w:tcW w:type="dxa" w:w="2200"/>
            <w:tcBorders>
              <w:top w:val="single" w:color="BBBBBB" w:sz="1"/>
              <w:left w:val="single" w:color="BBBBBB" w:sz="1"/>
              <w:bottom w:val="single" w:color="BBBBBB" w:sz="1"/>
              <w:right w:val="single" w:color="BBBBBB" w:sz="1"/>
            </w:tcBorders>
            <w:shd w:fill="CCE5FF" w:val="clear"/>
            <w:tcMar>
              <w:top w:type="dxa" w:w="80"/>
              <w:left w:type="dxa" w:w="120"/>
              <w:bottom w:type="dxa" w:w="80"/>
              <w:right w:type="dxa" w:w="120"/>
            </w:tcMar>
          </w:tcPr>
          <w:p>
            <w:pPr>
              <w:spacing w:after="40"/>
            </w:pPr>
            <w:r>
              <w:rPr>
                <w:rFonts w:ascii="Arial" w:cs="Arial" w:eastAsia="Arial" w:hAnsi="Arial"/>
                <w:sz w:val="20"/>
                <w:szCs w:val="20"/>
              </w:rPr>
              <w:t xml:space="preserve">GOPEL</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Overwatch + Human</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Hash chain verifies data integrity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Autonomous drift</w:t>
            </w:r>
          </w:p>
        </w:tc>
        <w:tc>
          <w:tcPr>
            <w:tcW w:type="dxa" w:w="2200"/>
            <w:tcBorders>
              <w:top w:val="single" w:color="BBBBBB" w:sz="1"/>
              <w:left w:val="single" w:color="BBBBBB" w:sz="1"/>
              <w:bottom w:val="single" w:color="BBBBBB" w:sz="1"/>
              <w:right w:val="single" w:color="BBBBBB" w:sz="1"/>
            </w:tcBorders>
            <w:shd w:fill="FFF3CD" w:val="clear"/>
            <w:tcMar>
              <w:top w:type="dxa" w:w="80"/>
              <w:left w:type="dxa" w:w="120"/>
              <w:bottom w:type="dxa" w:w="80"/>
              <w:right w:type="dxa" w:w="120"/>
            </w:tcMar>
          </w:tcPr>
          <w:p>
            <w:pPr>
              <w:spacing w:after="40"/>
            </w:pPr>
            <w:r>
              <w:rPr>
                <w:rFonts w:ascii="Arial" w:cs="Arial" w:eastAsia="Arial" w:hAnsi="Arial"/>
                <w:sz w:val="20"/>
                <w:szCs w:val="20"/>
              </w:rPr>
              <w:t xml:space="preserve">Human</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Overwatch + GOPEL</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Human judgment catches semantic drift</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Insider threat</w:t>
            </w:r>
          </w:p>
        </w:tc>
        <w:tc>
          <w:tcPr>
            <w:tcW w:type="dxa" w:w="2200"/>
            <w:tcBorders>
              <w:top w:val="single" w:color="BBBBBB" w:sz="1"/>
              <w:left w:val="single" w:color="BBBBBB" w:sz="1"/>
              <w:bottom w:val="single" w:color="BBBBBB" w:sz="1"/>
              <w:right w:val="single" w:color="BBBBBB" w:sz="1"/>
            </w:tcBorders>
            <w:shd w:fill="F0E0FF" w:val="clear"/>
            <w:tcMar>
              <w:top w:type="dxa" w:w="80"/>
              <w:left w:type="dxa" w:w="120"/>
              <w:bottom w:type="dxa" w:w="80"/>
              <w:right w:type="dxa" w:w="120"/>
            </w:tcMar>
          </w:tcPr>
          <w:p>
            <w:pPr>
              <w:spacing w:after="40"/>
            </w:pPr>
            <w:r>
              <w:rPr>
                <w:rFonts w:ascii="Arial" w:cs="Arial" w:eastAsia="Arial" w:hAnsi="Arial"/>
                <w:sz w:val="20"/>
                <w:szCs w:val="20"/>
              </w:rPr>
              <w:t xml:space="preserve">GOPEL + Human</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Overwatch</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40"/>
            </w:pPr>
            <w:r>
              <w:rPr>
                <w:rFonts w:ascii="Arial" w:cs="Arial" w:eastAsia="Arial" w:hAnsi="Arial"/>
                <w:sz w:val="20"/>
                <w:szCs w:val="20"/>
              </w:rPr>
              <w:t xml:space="preserve">Dual-approval + HMAC signing</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Every threat category is covered by at least two vertices. This redundancy ensures that no single point of failure compromises overall security.</w:t>
      </w:r>
    </w:p>
    <w:p>
      <w:pPr>
        <w:pStyle w:val="Heading1"/>
      </w:pPr>
      <w:r>
        <w:rPr>
          <w:rFonts w:ascii="Arial" w:cs="Arial" w:eastAsia="Arial" w:hAnsi="Arial"/>
        </w:rPr>
        <w:t xml:space="preserve">5. Why This Matters Now</w:t>
      </w:r>
    </w:p>
    <w:p>
      <w:pPr>
        <w:spacing w:after="120"/>
      </w:pPr>
      <w:r>
        <w:rPr>
          <w:rFonts w:ascii="Arial" w:cs="Arial" w:eastAsia="Arial" w:hAnsi="Arial"/>
          <w:sz w:val="22"/>
          <w:szCs w:val="22"/>
        </w:rPr>
        <w:t xml:space="preserve">AI systems are being deployed into high-stakes enterprise environments at a pace that outstrips governance infrastructure. Prompt injection attacks have been demonstrated against every major language model. Supply chain compromises have affected open-source model repositories. Autonomous AI agents are making decisions with real-world consequences in finance, healthcare, and infrastructure.</w:t>
      </w:r>
    </w:p>
    <w:p>
      <w:pPr>
        <w:spacing w:after="120"/>
      </w:pPr>
      <w:r>
        <w:rPr>
          <w:rFonts w:ascii="Arial" w:cs="Arial" w:eastAsia="Arial" w:hAnsi="Arial"/>
          <w:sz w:val="22"/>
          <w:szCs w:val="22"/>
        </w:rPr>
        <w:t xml:space="preserve">Current approaches treat AI security as a model-level problem (alignment, RLHF, red-teaming) or an organizational-level problem (ethics boards, policy documents, compliance checklists). The Governance Triangle treats it as an architectural problem, designing governance into the system structure rather than bolting it on after deployment.</w:t>
      </w:r>
    </w:p>
    <w:p>
      <w:pPr>
        <w:spacing w:after="120"/>
      </w:pPr>
      <w:r>
        <w:rPr>
          <w:rFonts w:ascii="Arial" w:cs="Arial" w:eastAsia="Arial" w:hAnsi="Arial"/>
          <w:sz w:val="22"/>
          <w:szCs w:val="22"/>
        </w:rPr>
        <w:t xml:space="preserve">The NIST AI Risk Management Framework and the EU AI Act both require human oversight, technical documentation, and cybersecurity measures for high-risk AI systems. The Governance Triangle maps directly to these requirements: Human Checkpoints provide oversight, GOPEL provides documentation, and all three vertices provide cybersecurity through defense in depth.</w:t>
      </w:r>
    </w:p>
    <w:p>
      <w:pPr>
        <w:pStyle w:val="Heading1"/>
      </w:pPr>
      <w:r>
        <w:rPr>
          <w:rFonts w:ascii="Arial" w:cs="Arial" w:eastAsia="Arial" w:hAnsi="Arial"/>
        </w:rPr>
        <w:t xml:space="preserve">6. Proof of Concept Status</w:t>
      </w:r>
    </w:p>
    <w:p>
      <w:pPr>
        <w:spacing w:after="120"/>
      </w:pPr>
      <w:r>
        <w:rPr>
          <w:rFonts w:ascii="Arial" w:cs="Arial" w:eastAsia="Arial" w:hAnsi="Arial"/>
          <w:sz w:val="22"/>
          <w:szCs w:val="22"/>
        </w:rPr>
        <w:t xml:space="preserve">This is a working proof of concept demonstrating that the theory translates into operational code. It is not a finished product. The proof of concept validates that non-cognitive enforcement is achievable, that cognitive monitoring can be isolated from enforcement, that the cryptographic audit chain resists tampering, and that the architecture is systematically testable (218 automated tests, including 35 dedicated security tests).</w:t>
      </w:r>
    </w:p>
    <w:p>
      <w:pPr>
        <w:spacing w:after="120"/>
      </w:pPr>
      <w:r>
        <w:rPr>
          <w:rFonts w:ascii="Arial" w:cs="Arial" w:eastAsia="Arial" w:hAnsi="Arial"/>
          <w:b/>
          <w:bCs/>
          <w:sz w:val="22"/>
          <w:szCs w:val="22"/>
        </w:rPr>
        <w:t xml:space="preserve">Current versions: </w:t>
      </w:r>
      <w:r>
        <w:rPr>
          <w:rFonts w:ascii="Arial" w:cs="Arial" w:eastAsia="Arial" w:hAnsi="Arial"/>
          <w:sz w:val="22"/>
          <w:szCs w:val="22"/>
        </w:rPr>
        <w:t xml:space="preserve">GOPEL v0.6.2 (11 security hardening fixes, security lockdown) | Overwatch v2.2 (structured logging, type-safe modules) | 27 total source modules | 0 cross-system imports</w:t>
      </w:r>
    </w:p>
    <w:p>
      <w:pPr>
        <w:pStyle w:val="Heading1"/>
      </w:pPr>
      <w:r>
        <w:rPr>
          <w:rFonts w:ascii="Arial" w:cs="Arial" w:eastAsia="Arial" w:hAnsi="Arial"/>
        </w:rPr>
        <w:t xml:space="preserve">7. Designed for Adaptation</w:t>
      </w:r>
    </w:p>
    <w:p>
      <w:pPr>
        <w:spacing w:after="120"/>
      </w:pPr>
      <w:r>
        <w:rPr>
          <w:rFonts w:ascii="Arial" w:cs="Arial" w:eastAsia="Arial" w:hAnsi="Arial"/>
          <w:sz w:val="22"/>
          <w:szCs w:val="22"/>
        </w:rPr>
        <w:t xml:space="preserve">New threats are inevitable. The Triangle is designed to address them through three adaptation paths: GOPEL absorbs threats expressible as deterministic rules (policy changes, new evidence gate requirements). Overwatch absorbs threats requiring cognitive detection (novel attack patterns, behavioral anomalies). Human Checkpoints absorb threats requiring judgment (contextual evaluation, intent assessment). The feedback loop from human judgment to formalized rules means every encounter with a novel threat strengthens the architecture.</w:t>
      </w:r>
    </w:p>
    <w:p>
      <w:pPr>
        <w:pBdr>
          <w:top w:val="single" w:color="1B3A5C" w:sz="4" w:space="8"/>
        </w:pBdr>
        <w:spacing w:before="400"/>
      </w:pPr>
    </w:p>
    <w:p>
      <w:pPr>
        <w:spacing w:after="40"/>
      </w:pPr>
      <w:r>
        <w:rPr>
          <w:rFonts w:ascii="Arial" w:cs="Arial" w:eastAsia="Arial" w:hAnsi="Arial"/>
          <w:i/>
          <w:iCs/>
          <w:color w:val="555555"/>
          <w:sz w:val="20"/>
          <w:szCs w:val="20"/>
        </w:rPr>
        <w:t xml:space="preserve">For the full technical paper including proof-of-concept metrics, regulatory alignment analysis, and architectural details, see: </w:t>
      </w:r>
      <w:r>
        <w:rPr>
          <w:rFonts w:ascii="Arial" w:cs="Arial" w:eastAsia="Arial" w:hAnsi="Arial"/>
          <w:b/>
          <w:bCs/>
          <w:i/>
          <w:iCs/>
          <w:color w:val="555555"/>
          <w:sz w:val="20"/>
          <w:szCs w:val="20"/>
        </w:rPr>
        <w:t xml:space="preserve">The HAIA Governance Triangle: A Checks and Balances Architecture for AI Security (Puglisi, 2026).</w:t>
      </w:r>
    </w:p>
    <w:p>
      <w:r>
        <w:rPr>
          <w:rFonts w:ascii="Arial" w:cs="Arial" w:eastAsia="Arial" w:hAnsi="Arial"/>
          <w:color w:val="999999"/>
          <w:sz w:val="20"/>
          <w:szCs w:val="20"/>
        </w:rPr>
        <w:t xml:space="preserve">basilpuglisi.com  |  HAIA-RECCLIN Framework Series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rFonts w:ascii="Arial" w:cs="Arial" w:eastAsia="Arial" w:hAnsi="Arial"/>
        <w:i/>
        <w:iCs/>
        <w:color w:val="999999"/>
        <w:sz w:val="18"/>
        <w:szCs w:val="18"/>
      </w:rPr>
      <w:t xml:space="preserve">HAIA Policy Document 6: Overwatch</w:t>
    </w:r>
    <w:r>
      <w:rPr>
        <w:rFonts w:ascii="Arial" w:cs="Arial" w:eastAsia="Arial" w:hAnsi="Arial"/>
        <w:color w:val="999999"/>
        <w:sz w:val="18"/>
        <w:szCs w:val="18"/>
      </w:rPr>
      <w:t xml:space="preserve">	v2.2 | PoC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B3A5C"/>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A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2026-05-10T04:40:51.905Z</dcterms:created>
  <dcterms:modified xsi:type="dcterms:W3CDTF">2026-05-10T04:40:51.905Z</dcterms:modified>
</cp:coreProperties>
</file>

<file path=docProps/custom.xml><?xml version="1.0" encoding="utf-8"?>
<Properties xmlns="http://schemas.openxmlformats.org/officeDocument/2006/custom-properties" xmlns:vt="http://schemas.openxmlformats.org/officeDocument/2006/docPropsVTypes"/>
</file>