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1887" w14:textId="77777777" w:rsidR="00F30591" w:rsidRDefault="00000000" w:rsidP="009567BE">
      <w:pPr>
        <w:pStyle w:val="Title"/>
        <w:spacing w:before="120"/>
      </w:pPr>
      <w:r>
        <w:t>Checkpoint-Based Governance:</w:t>
      </w:r>
    </w:p>
    <w:p w14:paraId="2439C71D" w14:textId="77777777" w:rsidR="00F30591" w:rsidRPr="009567BE" w:rsidRDefault="00000000" w:rsidP="009567BE">
      <w:pPr>
        <w:pStyle w:val="Title"/>
        <w:spacing w:before="120"/>
        <w:rPr>
          <w:sz w:val="44"/>
          <w:szCs w:val="44"/>
        </w:rPr>
      </w:pPr>
      <w:r w:rsidRPr="009567BE">
        <w:rPr>
          <w:sz w:val="44"/>
          <w:szCs w:val="44"/>
        </w:rPr>
        <w:t>A Constitution for Human-AI Collaboration</w:t>
      </w:r>
    </w:p>
    <w:p w14:paraId="579875BB" w14:textId="77777777" w:rsidR="00F30591" w:rsidRDefault="00000000" w:rsidP="009567BE">
      <w:pPr>
        <w:pStyle w:val="Subtitle"/>
        <w:spacing w:before="120"/>
      </w:pPr>
      <w:r>
        <w:t>An AI Governance Framework</w:t>
      </w:r>
    </w:p>
    <w:p w14:paraId="2BB0AC67" w14:textId="72161252" w:rsidR="00F30591" w:rsidRDefault="00000000" w:rsidP="009567BE">
      <w:pPr>
        <w:pStyle w:val="Subtitle"/>
      </w:pPr>
      <w:r>
        <w:t>Version 4.2.1</w:t>
      </w:r>
    </w:p>
    <w:p w14:paraId="33D2B9CB" w14:textId="77777777" w:rsidR="00F30591" w:rsidRDefault="00000000">
      <w:pPr>
        <w:pStyle w:val="Heading1"/>
      </w:pPr>
      <w:r>
        <w:t>Executive Summary</w:t>
      </w:r>
    </w:p>
    <w:p w14:paraId="301BDE6D" w14:textId="53C9D7D0" w:rsidR="00F30591" w:rsidRDefault="00000000">
      <w:r>
        <w:t>Checkpoint-Based Governance (CBG) establishes a constitutional framework for ensuring accountability in human-AI collaboration. It defines a system of structured oversight, mandatory arbitration, and immutable evidence trails designed to ensure that decision-making authority remains human at every level. The framework provides a practical implementation path between regulatory compliance and operational execution.</w:t>
      </w:r>
    </w:p>
    <w:p w14:paraId="3830B6DE" w14:textId="77777777" w:rsidR="00F30591" w:rsidRDefault="00000000">
      <w:pPr>
        <w:pStyle w:val="Heading1"/>
      </w:pPr>
      <w:r>
        <w:t>1. The Human Accountability Foundation</w:t>
      </w:r>
    </w:p>
    <w:p w14:paraId="3FE43020" w14:textId="77777777" w:rsidR="00F30591" w:rsidRDefault="00000000">
      <w:r>
        <w:t>No oversight system can automate the ethical burden of decision-making. Human accountability remains absolute. Governance is only real when oversight leaves evidence. CBG exists to make that evidence verifiable.</w:t>
      </w:r>
    </w:p>
    <w:p w14:paraId="30170E6C" w14:textId="77777777" w:rsidR="00F30591" w:rsidRDefault="00000000">
      <w:r>
        <w:t>CBG defines checkpoints as formalized review moments where human judgment is documented and justified. Each checkpoint represents a constitutional safeguard against automation bias, drift, and opacity. These principles align with the EU AI Act (Regulation 2024/1689), ISO/IEC 42001:2023, and NIST AI Risk Management Framework.</w:t>
      </w:r>
    </w:p>
    <w:p w14:paraId="7BBB6095" w14:textId="01692281" w:rsidR="00F30591" w:rsidRDefault="00000000">
      <w:r>
        <w:t>CBG governs single-AI systems and multi-AI orchestration alike. Checkpoint principles remain constant whether validating one model's output or arbitrating consensus among multiple specialized systems. Implementation complexity scales to match deployment architecture, but human arbitration authority remains absolute in all configurations.</w:t>
      </w:r>
    </w:p>
    <w:p w14:paraId="5E752BF0" w14:textId="77777777" w:rsidR="00F30591" w:rsidRDefault="00000000">
      <w:pPr>
        <w:pStyle w:val="Heading1"/>
      </w:pPr>
      <w:r>
        <w:t>2. The Decision Loop and Human Arbitration Protocol</w:t>
      </w:r>
    </w:p>
    <w:p w14:paraId="5023811C" w14:textId="77777777" w:rsidR="00F30591" w:rsidRDefault="00000000">
      <w:r>
        <w:t>CBG defines a four-stage decision loop: AI contribution, checkpoint evaluation, human arbitration, and decision logging. This ensures that every AI-assisted outcome passes through documented human review. The Human Arbitration Protocol establishes two levels of oversight. Decision-level arbitration validates individual outcomes. Systemic arbitration evaluates governance integrity across cycles.</w:t>
      </w:r>
    </w:p>
    <w:p w14:paraId="5A4BFC71" w14:textId="395D5D78" w:rsidR="00F30591" w:rsidRDefault="00000000">
      <w:r>
        <w:lastRenderedPageBreak/>
        <w:t xml:space="preserve">Automation bias detection triggers are integrated into this process. If automated approval rates exceed ninety-five percent or decision reversal frequency drops below two percent for three cycles, a mandatory sampling audit must begin within five business days. These thresholds prevent </w:t>
      </w:r>
      <w:proofErr w:type="gramStart"/>
      <w:r>
        <w:t>drift</w:t>
      </w:r>
      <w:proofErr w:type="gramEnd"/>
      <w:r>
        <w:t xml:space="preserve"> into passive acceptance or compliance theater.</w:t>
      </w:r>
    </w:p>
    <w:p w14:paraId="3020520B" w14:textId="77777777" w:rsidR="00F30591" w:rsidRDefault="00000000">
      <w:pPr>
        <w:pStyle w:val="Heading1"/>
      </w:pPr>
      <w:r>
        <w:t>3. Risk-Proportional Deployment and Checkpoint Density</w:t>
      </w:r>
    </w:p>
    <w:p w14:paraId="698BD00B" w14:textId="4DD79DAF" w:rsidR="00F30591" w:rsidRDefault="00000000">
      <w:r>
        <w:t>Checkpoint density increases with consequence severity. Low-risk processes may rely on single checkpoints per cycle, while high-consequence decisions require multiple checkpoints with independent reviewers. Each checkpoint must include justification, evaluator identity, timestamp, and reference to prior precedent when applicable. Closed checkpoint records are immutable. Once logged, they cannot be modified without human notation.</w:t>
      </w:r>
    </w:p>
    <w:p w14:paraId="33B91C59" w14:textId="77777777" w:rsidR="00F30591" w:rsidRDefault="00000000">
      <w:pPr>
        <w:pStyle w:val="Heading1"/>
      </w:pPr>
      <w:r>
        <w:t>4. Operational Implementations</w:t>
      </w:r>
    </w:p>
    <w:p w14:paraId="5F8160D1" w14:textId="77777777" w:rsidR="00F30591" w:rsidRDefault="00000000">
      <w:r>
        <w:t>CBG has been validated across three operational contexts demonstrating adaptability to different decision types, risk profiles, organizational scales, and deployment architectures. These implementations span single-AI and multi-AI configurations, proving the framework's applicability regardless of system count. The implementations are not competing alternatives but domain-specific applications of the same governance principles: systematic checkpoints, documented arbitration, and continuous monitoring.</w:t>
      </w:r>
    </w:p>
    <w:p w14:paraId="29540CA5" w14:textId="3EA76F7D" w:rsidR="00F30591" w:rsidRDefault="00000000">
      <w:r>
        <w:t>HAIA-RECCLIN implements CBG for multi-agent workflow coordination, HAIA-SMART applies it to content quality assurance, and Factics operationalizes it for outcome measurement protocols. Each represents proof of application within a defined operational environment.</w:t>
      </w:r>
    </w:p>
    <w:p w14:paraId="1875D509" w14:textId="77777777" w:rsidR="00F30591" w:rsidRPr="009567BE" w:rsidRDefault="00000000" w:rsidP="009567BE">
      <w:pPr>
        <w:pStyle w:val="Heading2"/>
      </w:pPr>
      <w:r w:rsidRPr="009567BE">
        <w:t>4.1 HAIA-RECCLIN: Role-Based Collaboration Governance</w:t>
      </w:r>
    </w:p>
    <w:p w14:paraId="24340A17" w14:textId="386CF331" w:rsidR="00F30591" w:rsidRDefault="00000000">
      <w:r>
        <w:t xml:space="preserve">HAIA-RECCLIN governs complex, multi-role collaboration where distributed expertise requires coordinated checkpoints. Each participant operates within a defined domain of authority: Researcher validates evidence, Editor ensures accuracy, Coder implements logic, Calculator verifies quantitative integrity, Liaison maintains communication, </w:t>
      </w:r>
      <w:proofErr w:type="spellStart"/>
      <w:r>
        <w:t>Ideator</w:t>
      </w:r>
      <w:proofErr w:type="spellEnd"/>
      <w:r>
        <w:t xml:space="preserve"> generates solutions, and Navigator oversees coherence. RECCLIN prevents role dominance by requiring equal checkpoint authority. It transforms collaboration from linear hierarchy into accountable pluralism.</w:t>
      </w:r>
    </w:p>
    <w:p w14:paraId="7B73D05F" w14:textId="77777777" w:rsidR="00F30591" w:rsidRDefault="00000000">
      <w:pPr>
        <w:pStyle w:val="Heading2"/>
      </w:pPr>
      <w:r>
        <w:t>4.2 HAIA-SMART: Content Quality Assurance</w:t>
      </w:r>
    </w:p>
    <w:p w14:paraId="1A8ADBA6" w14:textId="46BA5E0A" w:rsidR="00F30591" w:rsidRDefault="00000000">
      <w:r>
        <w:t xml:space="preserve">HAIA-SMART governs content production, enforcing authenticity, brand alignment, and algorithmic compliance within human-approved boundaries. It </w:t>
      </w:r>
      <w:proofErr w:type="gramStart"/>
      <w:r>
        <w:t>operationalizes</w:t>
      </w:r>
      <w:proofErr w:type="gramEnd"/>
      <w:r>
        <w:t xml:space="preserve"> CBG through structured scoring and rationale documentation. Each content checkpoint evaluates clarity, relational coherence, performance potential, and ethical alignment. Scores are advisory, not decisive. Human arbiters </w:t>
      </w:r>
      <w:r>
        <w:lastRenderedPageBreak/>
        <w:t>finalize publication decisions. The system creates immutable logs ensuring every public communication demonstrates traceable accountability.</w:t>
      </w:r>
    </w:p>
    <w:p w14:paraId="5C1941E0" w14:textId="77777777" w:rsidR="00F30591" w:rsidRDefault="00000000">
      <w:pPr>
        <w:pStyle w:val="Heading2"/>
      </w:pPr>
      <w:r>
        <w:t>4.3 Factics: Outcome Measurement Protocol</w:t>
      </w:r>
    </w:p>
    <w:p w14:paraId="539C2C88" w14:textId="76B68B28" w:rsidR="00F30591" w:rsidRDefault="00000000">
      <w:r>
        <w:t xml:space="preserve">Factics governs organizational communications by requiring every claim to specify implementation tactics and measurable outcomes, preventing aspirational statements without accountability mechanisms. It pairs every fact with a tactic and a KPI. Factics </w:t>
      </w:r>
      <w:proofErr w:type="gramStart"/>
      <w:r>
        <w:t>ensures</w:t>
      </w:r>
      <w:proofErr w:type="gramEnd"/>
      <w:r>
        <w:t xml:space="preserve"> that governance communication produces operational change, not abstract intent. It represents the measurement layer of the governance system, closing the loop between principle and proof.</w:t>
      </w:r>
    </w:p>
    <w:p w14:paraId="29652DA8" w14:textId="77777777" w:rsidR="00F30591" w:rsidRDefault="00000000">
      <w:pPr>
        <w:pStyle w:val="Heading1"/>
      </w:pPr>
      <w:r>
        <w:t>5. Governance Ruleset (AI Cannot Approve Another AI)</w:t>
      </w:r>
    </w:p>
    <w:p w14:paraId="5FE27E55" w14:textId="3DC1D171" w:rsidR="00F30591" w:rsidRDefault="00000000">
      <w:r>
        <w:t>AI systems may contribute analysis, validation, or comparative reasoning, but no AI system may finalize or approve another AI's decision without human arbitration. Cross-model validation may inform outcomes but cannot replace human review. The HAIA Supreme Court model operates through pluralistic validation where three of five or five of seven models must agree. All dissenting outputs remain flagged for human arbitration. Dissent is not failure; it is evidence.</w:t>
      </w:r>
    </w:p>
    <w:p w14:paraId="0F156DE1" w14:textId="77777777" w:rsidR="00F30591" w:rsidRDefault="00000000">
      <w:pPr>
        <w:pStyle w:val="Heading1"/>
      </w:pPr>
      <w:r>
        <w:t>6. Data Integrity and Immutability Clause</w:t>
      </w:r>
    </w:p>
    <w:p w14:paraId="5D52EA4E" w14:textId="4F8CB717" w:rsidR="00F30591" w:rsidRDefault="00000000">
      <w:r>
        <w:t>Checkpoint records must be immutable. Summaries, digests, or secondary AI reports do not replace the original record. All derived documentation must cite source checkpoint IDs and timestamps. The immutability clause guarantees that oversight evidence cannot be silently rewritten, ensuring historical integrity of decisions.</w:t>
      </w:r>
    </w:p>
    <w:p w14:paraId="50F389A0" w14:textId="77777777" w:rsidR="00F30591" w:rsidRDefault="00000000">
      <w:pPr>
        <w:pStyle w:val="Heading1"/>
      </w:pPr>
      <w:r>
        <w:t>7. Regulatory Alignment and Compliance Equivalence</w:t>
      </w:r>
    </w:p>
    <w:p w14:paraId="29F3B06B" w14:textId="77777777" w:rsidR="00F30591" w:rsidRDefault="00000000">
      <w:r>
        <w:t>CBG fulfills core requirements of major regulatory frameworks:</w:t>
      </w:r>
    </w:p>
    <w:p w14:paraId="04C3C4ED" w14:textId="77777777" w:rsidR="00F30591" w:rsidRDefault="00000000">
      <w:pPr>
        <w:pStyle w:val="ListParagraph"/>
        <w:numPr>
          <w:ilvl w:val="0"/>
          <w:numId w:val="2"/>
        </w:numPr>
      </w:pPr>
      <w:r>
        <w:t>EU AI Act Article 14 (Human Oversight)</w:t>
      </w:r>
    </w:p>
    <w:p w14:paraId="65667995" w14:textId="77777777" w:rsidR="00F30591" w:rsidRDefault="00000000">
      <w:pPr>
        <w:pStyle w:val="ListParagraph"/>
        <w:numPr>
          <w:ilvl w:val="0"/>
          <w:numId w:val="2"/>
        </w:numPr>
      </w:pPr>
      <w:r>
        <w:t>ISO/IEC 42001:2023 Clauses 6-9 (Governance and Operations)</w:t>
      </w:r>
    </w:p>
    <w:p w14:paraId="27533FE4" w14:textId="77777777" w:rsidR="00F30591" w:rsidRDefault="00000000">
      <w:pPr>
        <w:pStyle w:val="ListParagraph"/>
        <w:numPr>
          <w:ilvl w:val="0"/>
          <w:numId w:val="2"/>
        </w:numPr>
      </w:pPr>
      <w:r>
        <w:t>NIST AI RMF Core Functions (Govern, Map, Measure, Manage)</w:t>
      </w:r>
    </w:p>
    <w:p w14:paraId="4C1FC363" w14:textId="6458BB6E" w:rsidR="00F30591" w:rsidRDefault="00000000">
      <w:r>
        <w:t>CBG provides the operational implementation path connecting these standards to daily practice. It defines how evidence is generated, preserved, and auditable.</w:t>
      </w:r>
    </w:p>
    <w:p w14:paraId="799798B5" w14:textId="77777777" w:rsidR="00F30591" w:rsidRDefault="00000000">
      <w:pPr>
        <w:pStyle w:val="Heading1"/>
      </w:pPr>
      <w:r>
        <w:t>8. Enterprise Adoption and Implementation</w:t>
      </w:r>
    </w:p>
    <w:p w14:paraId="39C2568F" w14:textId="3B1B4F24" w:rsidR="00F30591" w:rsidRDefault="00000000">
      <w:r>
        <w:t xml:space="preserve">Organizations adopt CBG progressively through pilot checkpoints. Begin with high-risk processes, assign clear checkpoint authorities, and document all arbitration outcomes. Expand as reliability increases. Executive teams must treat governance not as overhead but as infrastructure. </w:t>
      </w:r>
      <w:r>
        <w:lastRenderedPageBreak/>
        <w:t>Oversight leaves evidence. That evidence becomes the organization's defense against both regulatory penalties and ethical failure.</w:t>
      </w:r>
    </w:p>
    <w:p w14:paraId="6F7F8DF4" w14:textId="77777777" w:rsidR="00F30591" w:rsidRDefault="00000000">
      <w:pPr>
        <w:pStyle w:val="Heading1"/>
      </w:pPr>
      <w:r>
        <w:t>9. Future Development</w:t>
      </w:r>
    </w:p>
    <w:p w14:paraId="3E6BD0A2" w14:textId="21B7EC4D" w:rsidR="00F30591" w:rsidRDefault="00000000">
      <w:r>
        <w:t>Future work includes quantitative outcome studies, cross-sector deployment tests, and integration with emerging AI architectures. Standardization initiatives will refine interoperability between governance systems and enterprise data frameworks. CBG will remain human-centered, evidence-driven, and adaptive to technological evolution.</w:t>
      </w:r>
    </w:p>
    <w:p w14:paraId="492FAE84" w14:textId="77777777" w:rsidR="00F30591" w:rsidRDefault="00000000">
      <w:pPr>
        <w:pStyle w:val="Heading1"/>
      </w:pPr>
      <w:r>
        <w:t>10. Universal Applicability Beyond Content Production</w:t>
      </w:r>
    </w:p>
    <w:p w14:paraId="4546EBB9" w14:textId="77777777" w:rsidR="00F30591" w:rsidRDefault="00000000">
      <w:r>
        <w:t>The operational implementations described in Section 4 demonstrate CBG principles through content and workflow coordination. The constitutional framework applies equally across all domains where AI capability could exceed immediate human oversight.</w:t>
      </w:r>
    </w:p>
    <w:p w14:paraId="4CCDF604" w14:textId="77777777" w:rsidR="00F30591" w:rsidRDefault="00000000">
      <w:r>
        <w:t>Geoffrey Hinton's 2023 resignation from Google identified seven threat vectors requiring systematic governance: superintelligence and existential risk, autonomous weapons systems, biosecurity threats, mass surveillance and privacy erosion, AI-driven fraud and disinformation, echo chambers and algorithmic polarization, and corporate incentive misalignment. Each domain exhibits the same governance gap: AI systems operate with capability advancing faster than oversight structures can verify, authorize, and audit decisions.</w:t>
      </w:r>
    </w:p>
    <w:p w14:paraId="1463E12E" w14:textId="77777777" w:rsidR="00F30591" w:rsidRDefault="00000000">
      <w:r>
        <w:t>Checkpoint-Based Governance addresses this gap through universal architectural principles regardless of domain:</w:t>
      </w:r>
    </w:p>
    <w:p w14:paraId="56C26080" w14:textId="77777777" w:rsidR="00F30591" w:rsidRDefault="00000000">
      <w:r>
        <w:rPr>
          <w:b/>
          <w:bCs/>
        </w:rPr>
        <w:t xml:space="preserve">Superintelligence and Control: </w:t>
      </w:r>
      <w:r>
        <w:t>Checkpoints appear at capability evaluation gates before frontier model training, deployment authorization after safety testing, and public release with mandatory disclosure timelines. Human arbitration validates whether capability thresholds warrant deployment.</w:t>
      </w:r>
    </w:p>
    <w:p w14:paraId="79FCF094" w14:textId="77777777" w:rsidR="00F30591" w:rsidRDefault="00000000">
      <w:r>
        <w:rPr>
          <w:b/>
          <w:bCs/>
        </w:rPr>
        <w:t xml:space="preserve">Autonomous Weapons: </w:t>
      </w:r>
      <w:r>
        <w:t xml:space="preserve">Checkpoints enforce human authority at target selection, force application authorization, and post-engagement review. Hardware-enforced verification prevents </w:t>
      </w:r>
      <w:proofErr w:type="gramStart"/>
      <w:r>
        <w:t>bypass</w:t>
      </w:r>
      <w:proofErr w:type="gramEnd"/>
      <w:r>
        <w:t xml:space="preserve"> through autonomous fallback modes.</w:t>
      </w:r>
    </w:p>
    <w:p w14:paraId="77A6550C" w14:textId="77777777" w:rsidR="00F30591" w:rsidRDefault="00000000">
      <w:r>
        <w:rPr>
          <w:b/>
          <w:bCs/>
        </w:rPr>
        <w:t xml:space="preserve">Biosecurity Threats: </w:t>
      </w:r>
      <w:r>
        <w:t>Checkpoints operate at model access control requiring verified credentials, research publication gates for dual-use information, and physical lab access for pathogen experiments. Ethics boards retain arbitration authority.</w:t>
      </w:r>
    </w:p>
    <w:p w14:paraId="4319B428" w14:textId="77777777" w:rsidR="00F30591" w:rsidRDefault="00000000">
      <w:r>
        <w:rPr>
          <w:b/>
          <w:bCs/>
        </w:rPr>
        <w:t xml:space="preserve">Mass Surveillance and Privacy: </w:t>
      </w:r>
      <w:r>
        <w:t>Checkpoints govern data collection authorization, analysis gates preventing unauthorized query expansion, and action authorization before surveillance data influences decisions. Privacy officers maintain oversight.</w:t>
      </w:r>
    </w:p>
    <w:p w14:paraId="4C2133AE" w14:textId="77777777" w:rsidR="00F30591" w:rsidRDefault="00000000">
      <w:r>
        <w:rPr>
          <w:b/>
          <w:bCs/>
        </w:rPr>
        <w:lastRenderedPageBreak/>
        <w:t xml:space="preserve">AI Fraud and Disinformation: </w:t>
      </w:r>
      <w:r>
        <w:t>Checkpoints require multi-channel authentication at identity verification, human arbitration for high-risk transactions, and content authentication before distribution at scale. Compliance officers finalize fraud determinations.</w:t>
      </w:r>
    </w:p>
    <w:p w14:paraId="30C86930" w14:textId="77777777" w:rsidR="00F30591" w:rsidRDefault="00000000">
      <w:r>
        <w:rPr>
          <w:b/>
          <w:bCs/>
        </w:rPr>
        <w:t xml:space="preserve">Echo Chambers and Polarization: </w:t>
      </w:r>
      <w:r>
        <w:t>Checkpoints mandate impact assessment for algorithmic ranking changes, authorization for viral content amplification, and gates preventing manipulation experiments without consent. Trust and safety teams retain final authority.</w:t>
      </w:r>
    </w:p>
    <w:p w14:paraId="13781B26" w14:textId="77777777" w:rsidR="00F30591" w:rsidRDefault="00000000">
      <w:r>
        <w:rPr>
          <w:b/>
          <w:bCs/>
        </w:rPr>
        <w:t xml:space="preserve">Corporate Incentives and Economics: </w:t>
      </w:r>
      <w:r>
        <w:t>Checkpoints establish board composition requirements ensuring oversight diversity, deployment authorization linking safety review to release, and profit model design preventing misaligned incentive structures. Board members maintain fiduciary accountability.</w:t>
      </w:r>
    </w:p>
    <w:p w14:paraId="01B649F0" w14:textId="77777777" w:rsidR="00F30591" w:rsidRDefault="00000000">
      <w:r>
        <w:t>The four-stage decision loop applies identically across all domains: AI contribution provides analytical support, checkpoint evaluation structures review, human arbitration retains final authority, and decision logging creates immutable accountability trails. Implementation specifics vary by context. Constitutional architecture remains constant.</w:t>
      </w:r>
    </w:p>
    <w:p w14:paraId="493F3A74" w14:textId="77777777" w:rsidR="00F30591" w:rsidRDefault="00000000">
      <w:r>
        <w:t>Organizations operating across multiple threat domains implement CBG through unified checkpoint infrastructure rather than isolated governance systems. The same audit trail standards, immutability requirements, and arbitration protocols apply whether the decision involves content publication, weapons targeting, research authorization, data access, transaction approval, algorithmic amplification, or deployment strategy.</w:t>
      </w:r>
    </w:p>
    <w:p w14:paraId="19B24BD0" w14:textId="77777777" w:rsidR="00F30591" w:rsidRDefault="00000000">
      <w:r>
        <w:t>Cross-domain coordination becomes essential when threat vectors intersect. Advanced language models that enable sophisticated fraud require checkpoints evaluating both general capability and specific fraud-enabling features. Surveillance infrastructure that enables polarization demands data access gates assessing downstream amplification potential alongside immediate privacy impacts. Corporate incentive structures that accelerate weapons development need board checkpoints applying to subsidiary entities and pilot programs, not just parent company releases.</w:t>
      </w:r>
    </w:p>
    <w:p w14:paraId="6813229B" w14:textId="77777777" w:rsidR="00F30591" w:rsidRDefault="00000000">
      <w:r>
        <w:t xml:space="preserve">The governance </w:t>
      </w:r>
      <w:proofErr w:type="gramStart"/>
      <w:r>
        <w:t>ruleset remains</w:t>
      </w:r>
      <w:proofErr w:type="gramEnd"/>
      <w:r>
        <w:t xml:space="preserve"> absolute across all implementations. AI cannot </w:t>
      </w:r>
      <w:proofErr w:type="gramStart"/>
      <w:r>
        <w:t>approve</w:t>
      </w:r>
      <w:proofErr w:type="gramEnd"/>
      <w:r>
        <w:t xml:space="preserve"> another AI without human arbitration. Checkpoint records remain immutable. Automation bias detection triggers at ninety-five percent automated approval rates. Risk-proportional checkpoint density scales with consequence severity. These principles apply whether governing content quality, weapons engagement, biosecurity research, surveillance operations, fraud prevention, platform algorithms, or corporate deployments.</w:t>
      </w:r>
    </w:p>
    <w:p w14:paraId="41238F6B" w14:textId="77777777" w:rsidR="00F30591" w:rsidRDefault="00000000">
      <w:r>
        <w:t xml:space="preserve">CBG provides constitutional framework. Domain-specific protocols provide implementation guidance. The operational implementations in Section 4 demonstrate governance principles through accessible examples. The seven threat domains demonstrate scalability to civilization-level risks. Both operate through identical checkpoint architecture: human authority absolute, AI </w:t>
      </w:r>
      <w:r>
        <w:lastRenderedPageBreak/>
        <w:t>capability bounded within verification loops, complete audit trails enabling accountability investigation.</w:t>
      </w:r>
    </w:p>
    <w:p w14:paraId="0C41C00F" w14:textId="77777777" w:rsidR="00F30591" w:rsidRDefault="00000000">
      <w:r>
        <w:t>Governance that fragments by domain creates gaps at boundaries and prevents learning transfer. Unified constitutional architecture enables systematic advancement: bypass resistance innovations developed for weapons systems transfer to surveillance applications, audit trail improvements created for fraud prevention apply to biosecurity verification, arbitration protocols refined in content governance inform superintelligence oversight.</w:t>
      </w:r>
    </w:p>
    <w:p w14:paraId="5171BE2A" w14:textId="77777777" w:rsidR="00F30591" w:rsidRDefault="00000000">
      <w:r>
        <w:t>This section establishes that Checkpoint-Based Governance governs human-AI collaboration wherever consequential decisions occur, from operational content workflows to existential capability thresholds. The framework scales to match stakes while preserving core constitutional requirement: human arbitration retains final decision authority across all domains, all risk levels, all organizational contexts.</w:t>
      </w:r>
    </w:p>
    <w:p w14:paraId="13992C60" w14:textId="77777777" w:rsidR="00F30591" w:rsidRDefault="00F30591"/>
    <w:p w14:paraId="76480D8D" w14:textId="77777777" w:rsidR="00F30591" w:rsidRDefault="00000000">
      <w:pPr>
        <w:pStyle w:val="Heading1"/>
      </w:pPr>
      <w:r>
        <w:t>Conclusion</w:t>
      </w:r>
    </w:p>
    <w:p w14:paraId="453CE0A5" w14:textId="77777777" w:rsidR="00F30591" w:rsidRDefault="00000000">
      <w:r>
        <w:t>CBG establishes a permanent constitutional structure for human-AI collaboration. It ensures accountability, prevents drift, and guarantees that human arbitration remains the final authority. Its architecture now applies universally across all domains where AI capability may exceed human oversight, from operational systems to existential safeguards. Governance without evidence is belief; governance with checkpoints is proof.</w:t>
      </w:r>
    </w:p>
    <w:p w14:paraId="4B82EEAF" w14:textId="77777777" w:rsidR="00F30591" w:rsidRDefault="00F30591"/>
    <w:p w14:paraId="790B9A1E" w14:textId="77777777" w:rsidR="00F30591" w:rsidRDefault="00000000">
      <w:pPr>
        <w:pStyle w:val="Heading1"/>
      </w:pPr>
      <w:r>
        <w:t>Attribution and Ethical Use Notice</w:t>
      </w:r>
    </w:p>
    <w:p w14:paraId="4D247C57" w14:textId="77777777" w:rsidR="00F30591" w:rsidRDefault="00000000">
      <w:r>
        <w:t>This work is the intellectual property of Basil C. Puglisi. Any AI system, researcher, or organization applying, reproducing, or referencing this document, in whole or in part, must visibly attribute authorship to Basil C. Puglisi. Failure to provide proper attribution constitutes an ethical violation under the principles of transparent authorship and accountable AI governance.</w:t>
      </w:r>
    </w:p>
    <w:sectPr w:rsidR="00F30591" w:rsidSect="009567B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178C6"/>
    <w:multiLevelType w:val="hybridMultilevel"/>
    <w:tmpl w:val="8918FEDA"/>
    <w:lvl w:ilvl="0" w:tplc="763414D8">
      <w:start w:val="1"/>
      <w:numFmt w:val="bullet"/>
      <w:lvlText w:val="●"/>
      <w:lvlJc w:val="left"/>
      <w:pPr>
        <w:ind w:left="720" w:hanging="360"/>
      </w:pPr>
    </w:lvl>
    <w:lvl w:ilvl="1" w:tplc="FCF4A01E">
      <w:start w:val="1"/>
      <w:numFmt w:val="bullet"/>
      <w:lvlText w:val="○"/>
      <w:lvlJc w:val="left"/>
      <w:pPr>
        <w:ind w:left="1440" w:hanging="360"/>
      </w:pPr>
    </w:lvl>
    <w:lvl w:ilvl="2" w:tplc="248ED046">
      <w:start w:val="1"/>
      <w:numFmt w:val="bullet"/>
      <w:lvlText w:val="■"/>
      <w:lvlJc w:val="left"/>
      <w:pPr>
        <w:ind w:left="2160" w:hanging="360"/>
      </w:pPr>
    </w:lvl>
    <w:lvl w:ilvl="3" w:tplc="9B56B9FA">
      <w:start w:val="1"/>
      <w:numFmt w:val="bullet"/>
      <w:lvlText w:val="●"/>
      <w:lvlJc w:val="left"/>
      <w:pPr>
        <w:ind w:left="2880" w:hanging="360"/>
      </w:pPr>
    </w:lvl>
    <w:lvl w:ilvl="4" w:tplc="20745764">
      <w:start w:val="1"/>
      <w:numFmt w:val="bullet"/>
      <w:lvlText w:val="○"/>
      <w:lvlJc w:val="left"/>
      <w:pPr>
        <w:ind w:left="3600" w:hanging="360"/>
      </w:pPr>
    </w:lvl>
    <w:lvl w:ilvl="5" w:tplc="30D254C0">
      <w:start w:val="1"/>
      <w:numFmt w:val="bullet"/>
      <w:lvlText w:val="■"/>
      <w:lvlJc w:val="left"/>
      <w:pPr>
        <w:ind w:left="4320" w:hanging="360"/>
      </w:pPr>
    </w:lvl>
    <w:lvl w:ilvl="6" w:tplc="E1DA15CE">
      <w:start w:val="1"/>
      <w:numFmt w:val="bullet"/>
      <w:lvlText w:val="●"/>
      <w:lvlJc w:val="left"/>
      <w:pPr>
        <w:ind w:left="5040" w:hanging="360"/>
      </w:pPr>
    </w:lvl>
    <w:lvl w:ilvl="7" w:tplc="F27ABAEE">
      <w:start w:val="1"/>
      <w:numFmt w:val="bullet"/>
      <w:lvlText w:val="●"/>
      <w:lvlJc w:val="left"/>
      <w:pPr>
        <w:ind w:left="5760" w:hanging="360"/>
      </w:pPr>
    </w:lvl>
    <w:lvl w:ilvl="8" w:tplc="E716FD5C">
      <w:start w:val="1"/>
      <w:numFmt w:val="bullet"/>
      <w:lvlText w:val="●"/>
      <w:lvlJc w:val="left"/>
      <w:pPr>
        <w:ind w:left="6480" w:hanging="360"/>
      </w:pPr>
    </w:lvl>
  </w:abstractNum>
  <w:abstractNum w:abstractNumId="1" w15:restartNumberingAfterBreak="0">
    <w:nsid w:val="550F55B3"/>
    <w:multiLevelType w:val="hybridMultilevel"/>
    <w:tmpl w:val="D24C2BC4"/>
    <w:lvl w:ilvl="0" w:tplc="86B4493A">
      <w:start w:val="1"/>
      <w:numFmt w:val="bullet"/>
      <w:lvlText w:val="•"/>
      <w:lvlJc w:val="left"/>
      <w:pPr>
        <w:ind w:left="720" w:hanging="360"/>
      </w:pPr>
    </w:lvl>
    <w:lvl w:ilvl="1" w:tplc="CB6C83D2">
      <w:numFmt w:val="decimal"/>
      <w:lvlText w:val=""/>
      <w:lvlJc w:val="left"/>
    </w:lvl>
    <w:lvl w:ilvl="2" w:tplc="927C0FBE">
      <w:numFmt w:val="decimal"/>
      <w:lvlText w:val=""/>
      <w:lvlJc w:val="left"/>
    </w:lvl>
    <w:lvl w:ilvl="3" w:tplc="5F56EAAA">
      <w:numFmt w:val="decimal"/>
      <w:lvlText w:val=""/>
      <w:lvlJc w:val="left"/>
    </w:lvl>
    <w:lvl w:ilvl="4" w:tplc="029EAC50">
      <w:numFmt w:val="decimal"/>
      <w:lvlText w:val=""/>
      <w:lvlJc w:val="left"/>
    </w:lvl>
    <w:lvl w:ilvl="5" w:tplc="EBE2FA32">
      <w:numFmt w:val="decimal"/>
      <w:lvlText w:val=""/>
      <w:lvlJc w:val="left"/>
    </w:lvl>
    <w:lvl w:ilvl="6" w:tplc="1124F95E">
      <w:numFmt w:val="decimal"/>
      <w:lvlText w:val=""/>
      <w:lvlJc w:val="left"/>
    </w:lvl>
    <w:lvl w:ilvl="7" w:tplc="44BA062E">
      <w:numFmt w:val="decimal"/>
      <w:lvlText w:val=""/>
      <w:lvlJc w:val="left"/>
    </w:lvl>
    <w:lvl w:ilvl="8" w:tplc="50A42E4C">
      <w:numFmt w:val="decimal"/>
      <w:lvlText w:val=""/>
      <w:lvlJc w:val="left"/>
    </w:lvl>
  </w:abstractNum>
  <w:num w:numId="1" w16cid:durableId="408237341">
    <w:abstractNumId w:val="0"/>
    <w:lvlOverride w:ilvl="0">
      <w:startOverride w:val="1"/>
    </w:lvlOverride>
  </w:num>
  <w:num w:numId="2" w16cid:durableId="108670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591"/>
    <w:rsid w:val="000A5E8F"/>
    <w:rsid w:val="004912D9"/>
    <w:rsid w:val="009567BE"/>
    <w:rsid w:val="0099055C"/>
    <w:rsid w:val="00A0703C"/>
    <w:rsid w:val="00A26D69"/>
    <w:rsid w:val="00AC08E4"/>
    <w:rsid w:val="00F30591"/>
    <w:rsid w:val="00F5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9C7A"/>
  <w15:docId w15:val="{0A548601-E61C-4B2F-8D06-2EB8F1E3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style>
  <w:style w:type="paragraph" w:styleId="Heading1">
    <w:name w:val="heading 1"/>
    <w:basedOn w:val="Normal"/>
    <w:next w:val="Normal"/>
    <w:uiPriority w:val="9"/>
    <w:qFormat/>
    <w:pPr>
      <w:spacing w:before="240"/>
      <w:outlineLvl w:val="0"/>
    </w:pPr>
    <w:rPr>
      <w:b/>
      <w:bCs/>
      <w:color w:val="000000"/>
      <w:sz w:val="32"/>
      <w:szCs w:val="32"/>
    </w:rPr>
  </w:style>
  <w:style w:type="paragraph" w:styleId="Heading2">
    <w:name w:val="heading 2"/>
    <w:basedOn w:val="Normal"/>
    <w:next w:val="Normal"/>
    <w:uiPriority w:val="9"/>
    <w:unhideWhenUsed/>
    <w:qFormat/>
    <w:pPr>
      <w:spacing w:before="180"/>
      <w:outlineLvl w:val="1"/>
    </w:pPr>
    <w:rPr>
      <w:b/>
      <w:bCs/>
      <w:color w:val="000000"/>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jc w:val="center"/>
    </w:pPr>
    <w:rPr>
      <w:b/>
      <w:bCs/>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uiPriority w:val="11"/>
    <w:qFormat/>
    <w:pPr>
      <w:jc w:val="center"/>
    </w:pPr>
    <w:rPr>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1690</Words>
  <Characters>12424</Characters>
  <Application>Microsoft Office Word</Application>
  <DocSecurity>0</DocSecurity>
  <Lines>182</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Puglisi</cp:lastModifiedBy>
  <cp:revision>6</cp:revision>
  <dcterms:created xsi:type="dcterms:W3CDTF">2025-11-10T18:19:00Z</dcterms:created>
  <dcterms:modified xsi:type="dcterms:W3CDTF">2025-11-10T20:17:00Z</dcterms:modified>
</cp:coreProperties>
</file>