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3D4F"/>
          <w:sz w:val="36"/>
          <w:szCs w:val="36"/>
        </w:rPr>
        <w:t xml:space="preserve">Prior Art Record</w:t>
      </w:r>
    </w:p>
    <w:p>
      <w:pPr>
        <w:spacing w:after="80"/>
        <w:jc w:val="center"/>
      </w:pPr>
      <w:r>
        <w:rPr>
          <w:rFonts w:ascii="Arial" w:cs="Arial" w:eastAsia="Arial" w:hAnsi="Arial"/>
          <w:color w:val="2B3D4F"/>
          <w:sz w:val="26"/>
          <w:szCs w:val="26"/>
        </w:rPr>
        <w:t xml:space="preserve">AI Governance Architecture Concepts in the Public Domain</w:t>
      </w:r>
    </w:p>
    <w:p>
      <w:pPr>
        <w:spacing w:after="400"/>
        <w:jc w:val="center"/>
      </w:pPr>
      <w:r>
        <w:rPr>
          <w:rFonts w:ascii="Arial" w:cs="Arial" w:eastAsia="Arial" w:hAnsi="Arial"/>
          <w:color w:val="666666"/>
          <w:sz w:val="22"/>
          <w:szCs w:val="22"/>
        </w:rPr>
        <w:t xml:space="preserve">Basil C. Puglisi, MPA  |  March 1, 2026</w:t>
      </w:r>
    </w:p>
    <w:p>
      <w:pPr>
        <w:pStyle w:val="Heading1"/>
        <w:spacing w:before="300" w:after="200"/>
      </w:pPr>
      <w:r>
        <w:rPr>
          <w:rFonts w:ascii="Arial" w:cs="Arial" w:eastAsia="Arial" w:hAnsi="Arial"/>
          <w:b/>
          <w:bCs/>
          <w:sz w:val="28"/>
          <w:szCs w:val="28"/>
        </w:rPr>
        <w:t xml:space="preserve">Statement of Purpose</w:t>
      </w:r>
    </w:p>
    <w:p>
      <w:pPr>
        <w:spacing w:after="160"/>
      </w:pPr>
      <w:r>
        <w:rPr>
          <w:rFonts w:ascii="Arial" w:cs="Arial" w:eastAsia="Arial" w:hAnsi="Arial"/>
          <w:sz w:val="22"/>
          <w:szCs w:val="22"/>
        </w:rPr>
        <w:t xml:space="preserve">This document records that specific AI governance concepts, including cryptographic audit trail architectures, digital signature requirements for human authorization, context-sensitive checkpoint governance models, and mandatory human arbitration enforcement, were published and publicly accessible before any patent applications were filed claiming these concepts as inventions. The purpose is to preserve the public domain status of governance infrastructure that the field requires. These concepts belong to everyone building accountable AI systems. No single party should control them.</w:t>
      </w:r>
    </w:p>
    <w:p>
      <w:pPr>
        <w:pStyle w:val="Heading1"/>
        <w:spacing w:before="300" w:after="200"/>
      </w:pPr>
      <w:r>
        <w:rPr>
          <w:rFonts w:ascii="Arial" w:cs="Arial" w:eastAsia="Arial" w:hAnsi="Arial"/>
          <w:b/>
          <w:bCs/>
          <w:sz w:val="28"/>
          <w:szCs w:val="28"/>
        </w:rPr>
        <w:t xml:space="preserve">Publication Timeline</w:t>
      </w:r>
    </w:p>
    <w:p>
      <w:pPr>
        <w:pStyle w:val="Heading2"/>
        <w:spacing w:before="240" w:after="160"/>
      </w:pPr>
      <w:r>
        <w:rPr>
          <w:rFonts w:ascii="Arial" w:cs="Arial" w:eastAsia="Arial" w:hAnsi="Arial"/>
          <w:b/>
          <w:bCs/>
          <w:sz w:val="24"/>
          <w:szCs w:val="24"/>
        </w:rPr>
        <w:t xml:space="preserve">September 23, 2025</w:t>
      </w:r>
    </w:p>
    <w:p>
      <w:pPr>
        <w:spacing w:after="160"/>
      </w:pPr>
      <w:r>
        <w:rPr>
          <w:rFonts w:ascii="Arial" w:cs="Arial" w:eastAsia="Arial" w:hAnsi="Arial"/>
          <w:b/>
          <w:bCs/>
          <w:sz w:val="22"/>
          <w:szCs w:val="22"/>
        </w:rPr>
        <w:t xml:space="preserve">Document: </w:t>
      </w:r>
      <w:r>
        <w:rPr>
          <w:rFonts w:ascii="Arial" w:cs="Arial" w:eastAsia="Arial" w:hAnsi="Arial"/>
          <w:sz w:val="22"/>
          <w:szCs w:val="22"/>
        </w:rPr>
        <w:t xml:space="preserve">Checkpoint-Based Governance: An Implementation Framework for Accountable Human-AI Collaboration (v2 drafting)</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BasilPuglisi.com</w:t>
      </w:r>
    </w:p>
    <w:p>
      <w:pPr>
        <w:spacing w:after="160"/>
      </w:pPr>
      <w:r>
        <w:rPr>
          <w:rFonts w:ascii="Arial" w:cs="Arial" w:eastAsia="Arial" w:hAnsi="Arial"/>
          <w:b/>
          <w:bCs/>
          <w:sz w:val="22"/>
          <w:szCs w:val="22"/>
        </w:rPr>
        <w:t xml:space="preserve">Concepts published: </w:t>
      </w:r>
      <w:r>
        <w:rPr>
          <w:rFonts w:ascii="Arial" w:cs="Arial" w:eastAsia="Arial" w:hAnsi="Arial"/>
          <w:sz w:val="22"/>
          <w:szCs w:val="22"/>
        </w:rPr>
        <w:t xml:space="preserve">Human arbitration checkpoints proportionate to decision criticality. Context-sensitive governance models: customer-facing AI requires upstream checkpoints before output; internal operations allow downstream review. The principle that AI recommends and humans decide as a structural requirement, not a procedural suggestion. Three operating models varying governance intensity by deployment context.</w:t>
      </w:r>
    </w:p>
    <w:p>
      <w:pPr>
        <w:pStyle w:val="Heading2"/>
        <w:spacing w:before="240" w:after="160"/>
      </w:pPr>
      <w:r>
        <w:rPr>
          <w:rFonts w:ascii="Arial" w:cs="Arial" w:eastAsia="Arial" w:hAnsi="Arial"/>
          <w:b/>
          <w:bCs/>
          <w:sz w:val="24"/>
          <w:szCs w:val="24"/>
        </w:rPr>
        <w:t xml:space="preserve">September 28, 2025</w:t>
      </w:r>
    </w:p>
    <w:p>
      <w:pPr>
        <w:spacing w:after="160"/>
      </w:pPr>
      <w:r>
        <w:rPr>
          <w:rFonts w:ascii="Arial" w:cs="Arial" w:eastAsia="Arial" w:hAnsi="Arial"/>
          <w:b/>
          <w:bCs/>
          <w:sz w:val="22"/>
          <w:szCs w:val="22"/>
        </w:rPr>
        <w:t xml:space="preserve">Document: </w:t>
      </w:r>
      <w:r>
        <w:rPr>
          <w:rFonts w:ascii="Arial" w:cs="Arial" w:eastAsia="Arial" w:hAnsi="Arial"/>
          <w:sz w:val="22"/>
          <w:szCs w:val="22"/>
        </w:rPr>
        <w:t xml:space="preserve">HAIA-RECCLIN Agent Architecture Specification</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GitHub (basilpuglisi/HAIA), timestamped commit history</w:t>
      </w:r>
    </w:p>
    <w:p>
      <w:pPr>
        <w:spacing w:after="160"/>
      </w:pPr>
      <w:r>
        <w:rPr>
          <w:rFonts w:ascii="Arial" w:cs="Arial" w:eastAsia="Arial" w:hAnsi="Arial"/>
          <w:b/>
          <w:bCs/>
          <w:sz w:val="22"/>
          <w:szCs w:val="22"/>
        </w:rPr>
        <w:t xml:space="preserve">Concepts published: </w:t>
      </w:r>
      <w:r>
        <w:rPr>
          <w:rFonts w:ascii="Arial" w:cs="Arial" w:eastAsia="Arial" w:hAnsi="Arial"/>
          <w:sz w:val="22"/>
          <w:szCs w:val="22"/>
        </w:rPr>
        <w:t xml:space="preserve">SHA-256 hash-chained audit trails where each record includes the hash of the preceding record, producing a sequential chain where modification of any record invalidates all subsequent hashes (Appendix A.2). SHA-3 recommended for new deployments. Digital signature requirements for human identity binding: RSA-2048 minimum, ECDSA P-256 or Ed25519 recommended, keys stored in hardware security module (HSM) or equivalent tamper-resistant storage (Appendix A.3). Append-only tamper-evident record architecture with deterministic canonicalization: UTF-8 encoding, lexicographic key ordering for structured fields, ISO 8601 timestamps in UTC with millisecond precision, ensuring two implementations processing the same logical record produce identical byte sequences (Appendix A.1). Anonymous or shared-credential arbitration prohibited; every audit record binds a natural person's identity to the decision. GOPEL agent architecture: non-cognitive governance enforcement performing zero cognitive work, dispatching, logging, routing, and recording with every non-mechanical decision supplied as a human configuration constant. Seven cognitive roles (Researcher, Editor, Coder, Calculator, Liaison, Ideator, Navigator) for structured multi-AI collaboration. Mandatory human arbitration at every checkpoint. Regulatory framework mapping by article number including EU AI Act Annex IV and Annex VI requirements.</w:t>
      </w:r>
    </w:p>
    <w:p>
      <w:pPr>
        <w:pStyle w:val="Heading2"/>
        <w:spacing w:before="240" w:after="160"/>
      </w:pPr>
      <w:r>
        <w:rPr>
          <w:rFonts w:ascii="Arial" w:cs="Arial" w:eastAsia="Arial" w:hAnsi="Arial"/>
          <w:b/>
          <w:bCs/>
          <w:sz w:val="24"/>
          <w:szCs w:val="24"/>
        </w:rPr>
        <w:t xml:space="preserve">November 20, 2025</w:t>
      </w:r>
    </w:p>
    <w:p>
      <w:pPr>
        <w:spacing w:after="160"/>
      </w:pPr>
      <w:r>
        <w:rPr>
          <w:rFonts w:ascii="Arial" w:cs="Arial" w:eastAsia="Arial" w:hAnsi="Arial"/>
          <w:b/>
          <w:bCs/>
          <w:sz w:val="22"/>
          <w:szCs w:val="22"/>
        </w:rPr>
        <w:t xml:space="preserve">Document: </w:t>
      </w:r>
      <w:r>
        <w:rPr>
          <w:rFonts w:ascii="Arial" w:cs="Arial" w:eastAsia="Arial" w:hAnsi="Arial"/>
          <w:sz w:val="22"/>
          <w:szCs w:val="22"/>
        </w:rPr>
        <w:t xml:space="preserve">Checkpoint-Based Governance (final version)</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BasilPuglisi.com</w:t>
      </w:r>
    </w:p>
    <w:p>
      <w:pPr>
        <w:spacing w:after="160"/>
      </w:pPr>
      <w:r>
        <w:rPr>
          <w:rFonts w:ascii="Arial" w:cs="Arial" w:eastAsia="Arial" w:hAnsi="Arial"/>
          <w:b/>
          <w:bCs/>
          <w:sz w:val="22"/>
          <w:szCs w:val="22"/>
        </w:rPr>
        <w:t xml:space="preserve">Concepts published: </w:t>
      </w:r>
      <w:r>
        <w:rPr>
          <w:rFonts w:ascii="Arial" w:cs="Arial" w:eastAsia="Arial" w:hAnsi="Arial"/>
          <w:sz w:val="22"/>
          <w:szCs w:val="22"/>
        </w:rPr>
        <w:t xml:space="preserve">Formalized three operating models with complete specification. Customer-facing versus internal operations checkpoint architecture distinction. Integration with HAIA-RECCLIN Agent Architecture.</w:t>
      </w:r>
    </w:p>
    <w:p>
      <w:pPr>
        <w:pStyle w:val="Heading2"/>
        <w:spacing w:before="240" w:after="160"/>
      </w:pPr>
      <w:r>
        <w:rPr>
          <w:rFonts w:ascii="Arial" w:cs="Arial" w:eastAsia="Arial" w:hAnsi="Arial"/>
          <w:b/>
          <w:bCs/>
          <w:sz w:val="24"/>
          <w:szCs w:val="24"/>
        </w:rPr>
        <w:t xml:space="preserve">December 1, 2025</w:t>
      </w:r>
    </w:p>
    <w:p>
      <w:pPr>
        <w:spacing w:after="160"/>
      </w:pPr>
      <w:r>
        <w:rPr>
          <w:rFonts w:ascii="Arial" w:cs="Arial" w:eastAsia="Arial" w:hAnsi="Arial"/>
          <w:b/>
          <w:bCs/>
          <w:sz w:val="22"/>
          <w:szCs w:val="22"/>
        </w:rPr>
        <w:t xml:space="preserve">Document: </w:t>
      </w:r>
      <w:r>
        <w:rPr>
          <w:rFonts w:ascii="Arial" w:cs="Arial" w:eastAsia="Arial" w:hAnsi="Arial"/>
          <w:sz w:val="22"/>
          <w:szCs w:val="22"/>
        </w:rPr>
        <w:t xml:space="preserve">Checkpoint-Based Governance (final version)</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GitHub (basilpuglisi/HAIA), timestamped commit</w:t>
      </w:r>
    </w:p>
    <w:p>
      <w:pPr>
        <w:spacing w:after="160"/>
      </w:pPr>
      <w:r>
        <w:rPr>
          <w:rFonts w:ascii="Arial" w:cs="Arial" w:eastAsia="Arial" w:hAnsi="Arial"/>
          <w:b/>
          <w:bCs/>
          <w:sz w:val="22"/>
          <w:szCs w:val="22"/>
        </w:rPr>
        <w:t xml:space="preserve">Concepts published: </w:t>
      </w:r>
      <w:r>
        <w:rPr>
          <w:rFonts w:ascii="Arial" w:cs="Arial" w:eastAsia="Arial" w:hAnsi="Arial"/>
          <w:sz w:val="22"/>
          <w:szCs w:val="22"/>
        </w:rPr>
        <w:t xml:space="preserve">Full CBG specification added to public repository.</w:t>
      </w:r>
    </w:p>
    <w:p>
      <w:pPr>
        <w:pStyle w:val="Heading2"/>
        <w:spacing w:before="240" w:after="160"/>
      </w:pPr>
      <w:r>
        <w:rPr>
          <w:rFonts w:ascii="Arial" w:cs="Arial" w:eastAsia="Arial" w:hAnsi="Arial"/>
          <w:b/>
          <w:bCs/>
          <w:sz w:val="24"/>
          <w:szCs w:val="24"/>
        </w:rPr>
        <w:t xml:space="preserve">Pre-2025 Foundation</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BasilPuglisi.com (archive extends to December 2009), basilpuglisi.wordpress.com</w:t>
      </w:r>
    </w:p>
    <w:p>
      <w:pPr>
        <w:spacing w:after="160"/>
      </w:pPr>
      <w:r>
        <w:rPr>
          <w:rFonts w:ascii="Arial" w:cs="Arial" w:eastAsia="Arial" w:hAnsi="Arial"/>
          <w:b/>
          <w:bCs/>
          <w:sz w:val="22"/>
          <w:szCs w:val="22"/>
        </w:rPr>
        <w:t xml:space="preserve">Record: </w:t>
      </w:r>
      <w:r>
        <w:rPr>
          <w:rFonts w:ascii="Arial" w:cs="Arial" w:eastAsia="Arial" w:hAnsi="Arial"/>
          <w:sz w:val="22"/>
          <w:szCs w:val="22"/>
        </w:rPr>
        <w:t xml:space="preserve">900+ published articles documenting digital platform evolution, AI governance methodology development, and the Factics methodology (Facts + Tactics + KPIs, formalized 2012). Digital Ethos nonprofit founded 2011. This longitudinal record establishes that the governing principles evolved organically over 16 years of documented practice.</w:t>
      </w:r>
    </w:p>
    <w:p>
      <w:pPr>
        <w:pStyle w:val="Heading1"/>
        <w:spacing w:before="300" w:after="200"/>
      </w:pPr>
      <w:r>
        <w:rPr>
          <w:rFonts w:ascii="Arial" w:cs="Arial" w:eastAsia="Arial" w:hAnsi="Arial"/>
          <w:b/>
          <w:bCs/>
          <w:sz w:val="28"/>
          <w:szCs w:val="28"/>
        </w:rPr>
        <w:t xml:space="preserve">Overlapping Concepts With Subsequently Filed Patent Applications</w:t>
      </w:r>
    </w:p>
    <w:p>
      <w:pPr>
        <w:spacing w:after="160"/>
      </w:pPr>
      <w:r>
        <w:rPr>
          <w:rFonts w:ascii="Arial" w:cs="Arial" w:eastAsia="Arial" w:hAnsi="Arial"/>
          <w:sz w:val="22"/>
          <w:szCs w:val="22"/>
        </w:rPr>
        <w:t xml:space="preserve">On November 23, 2025, Ilyes Tarik Mazari filed USPTO Provisional Application 63/923,348, followed by 28 additional provisional applications through February 25, 2026, totaling 2,305+ claims. The following table documents concepts that appear in both the Mazari applications and the prior-published HAIA-RECCLIN and CBG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000"/>
        <w:gridCol w:w="1560"/>
      </w:tblGrid>
      <w:tr>
        <w:tc>
          <w:tcPr>
            <w:tcW w:type="dxa" w:w="3200"/>
            <w:tcBorders>
              <w:top w:val="single" w:color="999999" w:sz="1"/>
              <w:left w:val="single" w:color="999999" w:sz="1"/>
              <w:bottom w:val="single" w:color="999999" w:sz="1"/>
              <w:right w:val="single" w:color="999999" w:sz="1"/>
            </w:tcBorders>
            <w:shd w:fill="2B3D4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Concept</w:t>
            </w:r>
          </w:p>
        </w:tc>
        <w:tc>
          <w:tcPr>
            <w:tcW w:type="dxa" w:w="2600"/>
            <w:tcBorders>
              <w:top w:val="single" w:color="999999" w:sz="1"/>
              <w:left w:val="single" w:color="999999" w:sz="1"/>
              <w:bottom w:val="single" w:color="999999" w:sz="1"/>
              <w:right w:val="single" w:color="999999" w:sz="1"/>
            </w:tcBorders>
            <w:shd w:fill="2B3D4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HAIA-RECCLIN / CBG Publication</w:t>
            </w:r>
          </w:p>
        </w:tc>
        <w:tc>
          <w:tcPr>
            <w:tcW w:type="dxa" w:w="2000"/>
            <w:tcBorders>
              <w:top w:val="single" w:color="999999" w:sz="1"/>
              <w:left w:val="single" w:color="999999" w:sz="1"/>
              <w:bottom w:val="single" w:color="999999" w:sz="1"/>
              <w:right w:val="single" w:color="999999" w:sz="1"/>
            </w:tcBorders>
            <w:shd w:fill="2B3D4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Mazari Filing</w:t>
            </w:r>
          </w:p>
        </w:tc>
        <w:tc>
          <w:tcPr>
            <w:tcW w:type="dxa" w:w="1560"/>
            <w:tcBorders>
              <w:top w:val="single" w:color="999999" w:sz="1"/>
              <w:left w:val="single" w:color="999999" w:sz="1"/>
              <w:bottom w:val="single" w:color="999999" w:sz="1"/>
              <w:right w:val="single" w:color="999999" w:sz="1"/>
            </w:tcBorders>
            <w:shd w:fill="2B3D4F"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Days Prior Art Predates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SHA-256 hash-chained audit trails (each record hashes the previous, modification breaks all subsequent)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Appendix A.2, GitHub Sept 28, 2025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Layers 16-20, FORTRESS 63/943,413, Dec 17, 2025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80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Digital signatures for human authorization (Ed25519, ECDSA, RSA with HSM storage)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Appendix A.3, GitHub Sept 28, 2025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Layer 21, Patent 63/990,403, Feb 25, 2026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151</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Mandatory human authorization as structural enforcement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CBG, BasilPuglisi.com Sept 23, 2025; HAIA-RECCLIN, GitHub Sept 28, 2025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Layers 21-25, Patent 63/990,403, Feb 25, 2026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155 / 151</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Append-only tamper-evident audit record architecture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Appendix A.1, GitHub Sept 28, 2025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Layer 7 and Layers 16-20, 63/923,348, Nov 23, 2025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56</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Context-sensitive governance models (varying enforcement by deployment context)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CBG three operating models, BasilPuglisi.com Sept 23, 2025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Layer 1, 63/923,348, Nov 23, 2025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61</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Regulatory framework mapping (EU AI Act, GDPR, DORA, HIPAA by article)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HAIA-RECCLIN EU Compliance Version, GitHub before Nov 23, 2025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Layers 1-25, 63/923,348, Nov 23, 2025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Predates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Non-cognitive agent enforcing governance mechanically without reasoning about permission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GOPEL agent, GitHub Sept 28, 2025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Layer 2 Constitutional Kernel, 63/923,348, Nov 23, 2025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56</w:t>
            </w:r>
          </w:p>
        </w:tc>
      </w:tr>
    </w:tbl>
    <w:p>
      <w:pPr>
        <w:pStyle w:val="Heading1"/>
        <w:spacing w:before="300" w:after="200"/>
      </w:pPr>
      <w:r>
        <w:rPr>
          <w:rFonts w:ascii="Arial" w:cs="Arial" w:eastAsia="Arial" w:hAnsi="Arial"/>
          <w:b/>
          <w:bCs/>
          <w:sz w:val="28"/>
          <w:szCs w:val="28"/>
        </w:rPr>
        <w:t xml:space="preserve">Independent Development</w:t>
      </w:r>
    </w:p>
    <w:p>
      <w:pPr>
        <w:spacing w:after="160"/>
      </w:pPr>
      <w:r>
        <w:rPr>
          <w:rFonts w:ascii="Arial" w:cs="Arial" w:eastAsia="Arial" w:hAnsi="Arial"/>
          <w:sz w:val="22"/>
          <w:szCs w:val="22"/>
        </w:rPr>
        <w:t xml:space="preserve">The HAIA-RECCLIN and CBG specifications were developed across 11 AI platforms (Claude, ChatGPT, Gemini, Grok, Perplexity, Mistral, DeepSeek, Meta AI, CoPilot, Kimi, MiniMax) with conversation records documenting the organic evolution of each specification. The integration gap search conducted across ten platforms during development found no published architecture integrating the same components. Mazari's paper was not published until February 2026, and the provisional applications are not public documents until published by the USPTO (typically 18 months after filing). No Mazari work was available for the HAIA-RECCLIN development process to have been exposed to.</w:t>
      </w:r>
    </w:p>
    <w:p>
      <w:pPr>
        <w:spacing w:after="160"/>
      </w:pPr>
      <w:r>
        <w:rPr>
          <w:rFonts w:ascii="Arial" w:cs="Arial" w:eastAsia="Arial" w:hAnsi="Arial"/>
          <w:sz w:val="22"/>
          <w:szCs w:val="22"/>
        </w:rPr>
        <w:t xml:space="preserve">Two independent researchers arriving at overlapping governance mechanisms (hash-chained audit trails, digital signature requirements, human authorization enforcement, append-only tamper-evident records) through separate development paths demonstrates that these are necessary engineering conclusions for AI governance, not novel inventions.</w:t>
      </w:r>
    </w:p>
    <w:p>
      <w:pPr>
        <w:pStyle w:val="Heading1"/>
        <w:spacing w:before="300" w:after="200"/>
      </w:pPr>
      <w:r>
        <w:rPr>
          <w:rFonts w:ascii="Arial" w:cs="Arial" w:eastAsia="Arial" w:hAnsi="Arial"/>
          <w:b/>
          <w:bCs/>
          <w:sz w:val="28"/>
          <w:szCs w:val="28"/>
        </w:rPr>
        <w:t xml:space="preserve">Verification</w:t>
      </w:r>
    </w:p>
    <w:p>
      <w:pPr>
        <w:spacing w:after="160"/>
      </w:pPr>
      <w:r>
        <w:rPr>
          <w:rFonts w:ascii="Arial" w:cs="Arial" w:eastAsia="Arial" w:hAnsi="Arial"/>
          <w:sz w:val="22"/>
          <w:szCs w:val="22"/>
        </w:rPr>
        <w:t xml:space="preserve">All publication dates are independently verifiable:</w:t>
      </w:r>
    </w:p>
    <w:p>
      <w:pPr>
        <w:spacing w:after="160"/>
      </w:pPr>
      <w:r>
        <w:rPr>
          <w:rFonts w:ascii="Arial" w:cs="Arial" w:eastAsia="Arial" w:hAnsi="Arial"/>
          <w:b/>
          <w:bCs/>
          <w:sz w:val="22"/>
          <w:szCs w:val="22"/>
        </w:rPr>
        <w:t xml:space="preserve">GitHub: </w:t>
      </w:r>
      <w:r>
        <w:rPr>
          <w:rFonts w:ascii="Arial" w:cs="Arial" w:eastAsia="Arial" w:hAnsi="Arial"/>
          <w:sz w:val="22"/>
          <w:szCs w:val="22"/>
        </w:rPr>
        <w:t xml:space="preserve">Commit history at github.com/basilpuglisi/HAIA preserves timestamped records for every file version.</w:t>
      </w:r>
    </w:p>
    <w:p>
      <w:pPr>
        <w:spacing w:after="160"/>
      </w:pPr>
      <w:r>
        <w:rPr>
          <w:rFonts w:ascii="Arial" w:cs="Arial" w:eastAsia="Arial" w:hAnsi="Arial"/>
          <w:b/>
          <w:bCs/>
          <w:sz w:val="22"/>
          <w:szCs w:val="22"/>
        </w:rPr>
        <w:t xml:space="preserve">BasilPuglisi.com: </w:t>
      </w:r>
      <w:r>
        <w:rPr>
          <w:rFonts w:ascii="Arial" w:cs="Arial" w:eastAsia="Arial" w:hAnsi="Arial"/>
          <w:sz w:val="22"/>
          <w:szCs w:val="22"/>
        </w:rPr>
        <w:t xml:space="preserve">Published articles with dates visible in page metadata and web archive records.</w:t>
      </w:r>
    </w:p>
    <w:p>
      <w:pPr>
        <w:spacing w:after="160"/>
      </w:pPr>
      <w:r>
        <w:rPr>
          <w:rFonts w:ascii="Arial" w:cs="Arial" w:eastAsia="Arial" w:hAnsi="Arial"/>
          <w:b/>
          <w:bCs/>
          <w:sz w:val="22"/>
          <w:szCs w:val="22"/>
        </w:rPr>
        <w:t xml:space="preserve">AI platform conversation records: </w:t>
      </w:r>
      <w:r>
        <w:rPr>
          <w:rFonts w:ascii="Arial" w:cs="Arial" w:eastAsia="Arial" w:hAnsi="Arial"/>
          <w:sz w:val="22"/>
          <w:szCs w:val="22"/>
        </w:rPr>
        <w:t xml:space="preserve">Dated records across 11 platforms documenting development process.</w:t>
      </w:r>
    </w:p>
    <w:p>
      <w:pPr>
        <w:pStyle w:val="Heading1"/>
        <w:spacing w:before="300" w:after="200"/>
      </w:pPr>
      <w:r>
        <w:rPr>
          <w:rFonts w:ascii="Arial" w:cs="Arial" w:eastAsia="Arial" w:hAnsi="Arial"/>
          <w:b/>
          <w:bCs/>
          <w:sz w:val="28"/>
          <w:szCs w:val="28"/>
        </w:rPr>
        <w:t xml:space="preserve">Legal Context</w:t>
      </w:r>
    </w:p>
    <w:p>
      <w:pPr>
        <w:spacing w:after="160"/>
      </w:pPr>
      <w:r>
        <w:rPr>
          <w:rFonts w:ascii="Arial" w:cs="Arial" w:eastAsia="Arial" w:hAnsi="Arial"/>
          <w:sz w:val="22"/>
          <w:szCs w:val="22"/>
        </w:rPr>
        <w:t xml:space="preserve">Under 35 U.S.C. § 102, a patent claim is invalid if the claimed invention was described in a printed publication or otherwise available to the public before the effective filing date. The publications documented above constitute prior art for any patent claims covering the overlapping concepts listed in this record.</w:t>
      </w:r>
    </w:p>
    <w:p>
      <w:pPr>
        <w:spacing w:after="160"/>
      </w:pPr>
      <w:r>
        <w:rPr>
          <w:rFonts w:ascii="Arial" w:cs="Arial" w:eastAsia="Arial" w:hAnsi="Arial"/>
          <w:sz w:val="22"/>
          <w:szCs w:val="22"/>
        </w:rPr>
        <w:t xml:space="preserve">Under 35 U.S.C. § 122(e), any member of the public may submit prior art references to the USPTO during examination of a published patent application. This document and the referenced publications are available for such submissions.</w:t>
      </w:r>
    </w:p>
    <w:p>
      <w:pPr>
        <w:pStyle w:val="Heading1"/>
        <w:spacing w:before="300" w:after="200"/>
      </w:pPr>
      <w:r>
        <w:rPr>
          <w:rFonts w:ascii="Arial" w:cs="Arial" w:eastAsia="Arial" w:hAnsi="Arial"/>
          <w:b/>
          <w:bCs/>
          <w:sz w:val="28"/>
          <w:szCs w:val="28"/>
        </w:rPr>
        <w:t xml:space="preserve">License and Defensive Publication</w:t>
      </w:r>
    </w:p>
    <w:p>
      <w:pPr>
        <w:spacing w:after="160"/>
      </w:pPr>
      <w:r>
        <w:rPr>
          <w:rFonts w:ascii="Arial" w:cs="Arial" w:eastAsia="Arial" w:hAnsi="Arial"/>
          <w:sz w:val="22"/>
          <w:szCs w:val="22"/>
        </w:rPr>
        <w:t xml:space="preserve">The HAIA-RECCLIN Agent Architecture Specification and Checkpoint-Based Governance framework are published under Creative Commons Attribution-NonCommercial 4.0 International (CC BY-NC 4.0). Anyone may share and adapt the material for noncommercial purposes with attribution.</w:t>
      </w:r>
    </w:p>
    <w:p>
      <w:pPr>
        <w:spacing w:after="160"/>
      </w:pPr>
      <w:r>
        <w:rPr>
          <w:rFonts w:ascii="Arial" w:cs="Arial" w:eastAsia="Arial" w:hAnsi="Arial"/>
          <w:sz w:val="22"/>
          <w:szCs w:val="22"/>
        </w:rPr>
        <w:t xml:space="preserve">The governance concepts documented in this record are in the public domain. This prior art summary is itself a defensive publication intended to preserve public access to foundational AI governance infrastructure.</w:t>
      </w:r>
    </w:p>
    <w:p>
      <w:pPr>
        <w:spacing w:before="600"/>
      </w:pPr>
      <w:r>
        <w:rPr>
          <w:rFonts w:ascii="Arial" w:cs="Arial" w:eastAsia="Arial" w:hAnsi="Arial"/>
          <w:b/>
          <w:bCs/>
          <w:color w:val="666666"/>
          <w:sz w:val="20"/>
          <w:szCs w:val="20"/>
        </w:rPr>
        <w:t xml:space="preserve">Contact: </w:t>
      </w:r>
      <w:r>
        <w:rPr>
          <w:rFonts w:ascii="Arial" w:cs="Arial" w:eastAsia="Arial" w:hAnsi="Arial"/>
          <w:color w:val="666666"/>
          <w:sz w:val="20"/>
          <w:szCs w:val="20"/>
        </w:rPr>
        <w:t xml:space="preserve">BasilPuglisi.com  |  GitHub: github.com/basilpuglisi/HAIA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2B3D4F"/>
      <w:sz w:val="28"/>
      <w:szCs w:val="28"/>
    </w:rPr>
  </w:style>
  <w:style w:type="paragraph" w:styleId="Heading2">
    <w:name w:val="Heading 2"/>
    <w:basedOn w:val="Normal"/>
    <w:next w:val="Normal"/>
    <w:qFormat/>
    <w:pPr>
      <w:spacing w:before="240" w:after="160"/>
      <w:outlineLvl w:val="1"/>
    </w:pPr>
    <w:rPr>
      <w:rFonts w:ascii="Arial" w:cs="Arial" w:eastAsia="Arial" w:hAnsi="Arial"/>
      <w:b/>
      <w:bCs/>
      <w:color w:val="2B3D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2026-03-01T21:20:06.694Z</dcterms:created>
  <dcterms:modified xsi:type="dcterms:W3CDTF">2026-03-01T21:20:06.695Z</dcterms:modified>
</cp:coreProperties>
</file>

<file path=docProps/custom.xml><?xml version="1.0" encoding="utf-8"?>
<Properties xmlns="http://schemas.openxmlformats.org/officeDocument/2006/custom-properties" xmlns:vt="http://schemas.openxmlformats.org/officeDocument/2006/docPropsVTypes"/>
</file>