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spacing w:after="80"/>
        <w:jc w:val="center"/>
      </w:pPr>
      <w:r>
        <w:rPr>
          <w:rFonts w:ascii="Arial" w:cs="Arial" w:eastAsia="Arial" w:hAnsi="Arial"/>
          <w:b/>
          <w:bCs/>
          <w:color w:val="1B3A5C"/>
          <w:sz w:val="40"/>
          <w:szCs w:val="40"/>
        </w:rPr>
        <w:t xml:space="preserve">HAIA-RECCLIN AGENT ARCHITECTURE</w:t>
      </w:r>
    </w:p>
    <w:p>
      <w:pPr>
        <w:spacing w:after="200"/>
        <w:jc w:val="center"/>
      </w:pPr>
      <w:r>
        <w:rPr>
          <w:rFonts w:ascii="Arial" w:cs="Arial" w:eastAsia="Arial" w:hAnsi="Arial"/>
          <w:b/>
          <w:bCs/>
          <w:color w:val="2E5984"/>
          <w:sz w:val="36"/>
          <w:szCs w:val="36"/>
        </w:rPr>
        <w:t xml:space="preserve">INTEGRATION GAP EVIDENCE RECORD</w:t>
      </w:r>
    </w:p>
    <w:p>
      <w:pPr>
        <w:pBdr>
          <w:bottom w:val="single" w:color="1B3A5C" w:sz="6" w:space="8"/>
        </w:pBdr>
        <w:spacing w:after="400"/>
        <w:jc w:val="center"/>
      </w:pPr>
      <w:r>
        <w:rPr>
          <w:rFonts w:ascii="Arial" w:cs="Arial" w:eastAsia="Arial" w:hAnsi="Arial"/>
          <w:i/>
          <w:iCs/>
          <w:color w:val="444444"/>
          <w:sz w:val="24"/>
          <w:szCs w:val="24"/>
        </w:rPr>
        <w:t xml:space="preserve">Documenting Prior Art, Search Methodology, and Governed Verification</w:t>
      </w:r>
    </w:p>
    <w:p>
      <w:pPr>
        <w:spacing w:after="40"/>
        <w:jc w:val="center"/>
      </w:pPr>
      <w:r>
        <w:rPr>
          <w:rFonts w:ascii="Arial" w:cs="Arial" w:eastAsia="Arial" w:hAnsi="Arial"/>
          <w:b/>
          <w:bCs/>
          <w:sz w:val="26"/>
          <w:szCs w:val="26"/>
        </w:rPr>
        <w:t xml:space="preserve">Basil C. Puglisi, MPA</w:t>
      </w:r>
    </w:p>
    <w:p>
      <w:pPr>
        <w:spacing w:after="40"/>
        <w:jc w:val="center"/>
      </w:pPr>
      <w:r>
        <w:rPr>
          <w:rFonts w:ascii="Arial" w:cs="Arial" w:eastAsia="Arial" w:hAnsi="Arial"/>
          <w:color w:val="444444"/>
          <w:sz w:val="22"/>
          <w:szCs w:val="22"/>
        </w:rPr>
        <w:t xml:space="preserve">Human-AI Collaboration Strategist | AI Governance Consultant</w:t>
      </w:r>
    </w:p>
    <w:p>
      <w:pPr>
        <w:spacing w:after="200"/>
        <w:jc w:val="center"/>
      </w:pPr>
      <w:r>
        <w:rPr>
          <w:rFonts w:ascii="Arial" w:cs="Arial" w:eastAsia="Arial" w:hAnsi="Arial"/>
          <w:color w:val="2E5984"/>
          <w:sz w:val="22"/>
          <w:szCs w:val="22"/>
        </w:rPr>
        <w:t xml:space="preserve">BasilPuglisi.com</w:t>
      </w:r>
    </w:p>
    <w:p>
      <w:pPr>
        <w:spacing w:after="40"/>
        <w:jc w:val="center"/>
      </w:pPr>
      <w:r>
        <w:rPr>
          <w:rFonts w:ascii="Arial" w:cs="Arial" w:eastAsia="Arial" w:hAnsi="Arial"/>
          <w:color w:val="666666"/>
          <w:sz w:val="20"/>
          <w:szCs w:val="20"/>
        </w:rPr>
        <w:t xml:space="preserve">Document Version: 1.0</w:t>
      </w:r>
    </w:p>
    <w:p>
      <w:pPr>
        <w:spacing w:after="40"/>
        <w:jc w:val="center"/>
      </w:pPr>
      <w:r>
        <w:rPr>
          <w:rFonts w:ascii="Arial" w:cs="Arial" w:eastAsia="Arial" w:hAnsi="Arial"/>
          <w:color w:val="666666"/>
          <w:sz w:val="20"/>
          <w:szCs w:val="20"/>
        </w:rPr>
        <w:t xml:space="preserve">Date: February 17, 2026</w:t>
      </w:r>
    </w:p>
    <w:p>
      <w:pPr>
        <w:spacing w:after="40"/>
        <w:jc w:val="center"/>
      </w:pPr>
      <w:r>
        <w:rPr>
          <w:rFonts w:ascii="Arial" w:cs="Arial" w:eastAsia="Arial" w:hAnsi="Arial"/>
          <w:color w:val="666666"/>
          <w:sz w:val="20"/>
          <w:szCs w:val="20"/>
        </w:rPr>
        <w:t xml:space="preserve">Classification: Prior Art Documentation</w:t>
      </w:r>
    </w:p>
    <w:p>
      <w:r>
        <w:br w:type="page"/>
      </w:r>
    </w:p>
    <w:p>
      <w:pPr>
        <w:pStyle w:val="Heading1"/>
        <w:spacing w:before="360" w:after="200"/>
      </w:pPr>
      <w:r>
        <w:rPr>
          <w:rFonts w:ascii="Arial" w:cs="Arial" w:eastAsia="Arial" w:hAnsi="Arial"/>
          <w:b/>
          <w:bCs/>
          <w:sz w:val="28"/>
          <w:szCs w:val="28"/>
        </w:rPr>
        <w:t xml:space="preserve">1. Purpose of This Document</w:t>
      </w:r>
    </w:p>
    <w:p>
      <w:pPr>
        <w:spacing w:before="80" w:after="80" w:line="276"/>
      </w:pPr>
      <w:r>
        <w:rPr>
          <w:rFonts w:ascii="Arial" w:cs="Arial" w:eastAsia="Arial" w:hAnsi="Arial"/>
          <w:sz w:val="22"/>
          <w:szCs w:val="22"/>
        </w:rPr>
        <w:t xml:space="preserve">This document establishes the evidentiary record for the HAIA-RECCLIN Agent Architecture Specification's integration gap claim. The claim states that no published architecture integrates the same components into a single governance layer positioned between quality management systems and multi-AI platform workflows. This record documents three layers of evidence: the claim itself, the search methodology that tested it, and the governed process that produced both.</w:t>
      </w:r>
    </w:p>
    <w:p>
      <w:pPr>
        <w:spacing w:before="80" w:after="80" w:line="276"/>
      </w:pPr>
      <w:r>
        <w:rPr>
          <w:rFonts w:ascii="Arial" w:cs="Arial" w:eastAsia="Arial" w:hAnsi="Arial"/>
          <w:sz w:val="22"/>
          <w:szCs w:val="22"/>
        </w:rPr>
        <w:t xml:space="preserve">The document serves a specific defensive function. Multiple parties have engaged with the published HAIA-RECCLIN specification, Agent Architecture, academic working paper, and related publications since their release on GitHub, Academia.edu, Medium, and BasilPuglisi.com. Some have subsequently published claims, terminology, and architectural concepts that overlap with documented HAIA-RECCLIN components. This record establishes what existed, when it was documented, how it was verified, and through what governed process the verification occurred.</w:t>
      </w:r>
    </w:p>
    <w:p>
      <w:pPr>
        <w:pStyle w:val="Heading1"/>
        <w:spacing w:before="360" w:after="200"/>
      </w:pPr>
      <w:r>
        <w:rPr>
          <w:rFonts w:ascii="Arial" w:cs="Arial" w:eastAsia="Arial" w:hAnsi="Arial"/>
          <w:b/>
          <w:bCs/>
          <w:sz w:val="28"/>
          <w:szCs w:val="28"/>
        </w:rPr>
        <w:t xml:space="preserve">2. Publication and Documentation Timeline</w:t>
      </w:r>
    </w:p>
    <w:p>
      <w:pPr>
        <w:spacing w:before="80" w:after="80" w:line="276"/>
      </w:pPr>
      <w:r>
        <w:rPr>
          <w:rFonts w:ascii="Arial" w:cs="Arial" w:eastAsia="Arial" w:hAnsi="Arial"/>
          <w:sz w:val="22"/>
          <w:szCs w:val="22"/>
        </w:rPr>
        <w:t xml:space="preserve">The following timeline establishes the chronological record of HAIA-RECCLIN development as documented across versioned publications and governed conversation records.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680"/>
        <w:gridCol w:w="3680"/>
      </w:tblGrid>
      <w:tr>
        <w:tc>
          <w:tcPr>
            <w:tcW w:type="dxa" w:w="2000"/>
            <w:tcBorders>
              <w:top w:val="single" w:color="999999" w:sz="1"/>
              <w:left w:val="single" w:color="999999" w:sz="1"/>
              <w:bottom w:val="single" w:color="999999" w:sz="1"/>
              <w:right w:val="single" w:color="999999"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Date</w:t>
            </w:r>
          </w:p>
        </w:tc>
        <w:tc>
          <w:tcPr>
            <w:tcW w:type="dxa" w:w="3680"/>
            <w:tcBorders>
              <w:top w:val="single" w:color="999999" w:sz="1"/>
              <w:left w:val="single" w:color="999999" w:sz="1"/>
              <w:bottom w:val="single" w:color="999999" w:sz="1"/>
              <w:right w:val="single" w:color="999999"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Artifact</w:t>
            </w:r>
          </w:p>
        </w:tc>
        <w:tc>
          <w:tcPr>
            <w:tcW w:type="dxa" w:w="3680"/>
            <w:tcBorders>
              <w:top w:val="single" w:color="999999" w:sz="1"/>
              <w:left w:val="single" w:color="999999" w:sz="1"/>
              <w:bottom w:val="single" w:color="999999" w:sz="1"/>
              <w:right w:val="single" w:color="999999"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Significance</w:t>
            </w:r>
          </w:p>
        </w:tc>
      </w:tr>
      <w:tr>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bCs/>
                <w:sz w:val="20"/>
                <w:szCs w:val="20"/>
              </w:rPr>
              <w:t xml:space="preserve">Oct 2025</w:t>
            </w:r>
          </w:p>
        </w:tc>
        <w:tc>
          <w:tcPr>
            <w:tcW w:type="dxa" w:w="368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HAIA-RECCLIN Framework documentation initiated</w:t>
            </w:r>
          </w:p>
        </w:tc>
        <w:tc>
          <w:tcPr>
            <w:tcW w:type="dxa" w:w="368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First governed conversation records establishing CBG methodology, seven RECCLIN roles, and checkpoint architecture</w:t>
            </w:r>
          </w:p>
        </w:tc>
      </w:tr>
      <w:tr>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bCs/>
                <w:sz w:val="20"/>
                <w:szCs w:val="20"/>
              </w:rPr>
              <w:t xml:space="preserve">Oct-Nov 2025</w:t>
            </w:r>
          </w:p>
        </w:tc>
        <w:tc>
          <w:tcPr>
            <w:tcW w:type="dxa" w:w="368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Framework iterations (v1.0 through Final November 2025)</w:t>
            </w:r>
          </w:p>
        </w:tc>
        <w:tc>
          <w:tcPr>
            <w:tcW w:type="dxa" w:w="368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Systematic refinement through multi-AI review across six platforms with documented human arbitration at every decision point</w:t>
            </w:r>
          </w:p>
        </w:tc>
      </w:tr>
      <w:tr>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bCs/>
                <w:sz w:val="20"/>
                <w:szCs w:val="20"/>
              </w:rPr>
              <w:t xml:space="preserve">Feb 4, 2026</w:t>
            </w:r>
          </w:p>
        </w:tc>
        <w:tc>
          <w:tcPr>
            <w:tcW w:type="dxa" w:w="368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Agent Architecture Specification v1.0 through v1.6 (Base Version)</w:t>
            </w:r>
          </w:p>
        </w:tc>
        <w:tc>
          <w:tcPr>
            <w:tcW w:type="dxa" w:w="368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Complete specification development with CBG governance, 30-point EU compliance gap analysis, integration gap identification</w:t>
            </w:r>
          </w:p>
        </w:tc>
      </w:tr>
      <w:tr>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bCs/>
                <w:sz w:val="20"/>
                <w:szCs w:val="20"/>
              </w:rPr>
              <w:t xml:space="preserve">Feb 4, 2026</w:t>
            </w:r>
          </w:p>
        </w:tc>
        <w:tc>
          <w:tcPr>
            <w:tcW w:type="dxa" w:w="368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Agent Architecture Specification v2.0 through v2.2 (EU Compliance Version)</w:t>
            </w:r>
          </w:p>
        </w:tc>
        <w:tc>
          <w:tcPr>
            <w:tcW w:type="dxa" w:w="368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Forked from v1.6, prEN 18286 QMS mapping, Annex VI self-assessment alignment, formal integration gap statement, Compliance Scope Disclosure</w:t>
            </w:r>
          </w:p>
        </w:tc>
      </w:tr>
      <w:tr>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bCs/>
                <w:sz w:val="20"/>
                <w:szCs w:val="20"/>
              </w:rPr>
              <w:t xml:space="preserve">Feb 4, 2026</w:t>
            </w:r>
          </w:p>
        </w:tc>
        <w:tc>
          <w:tcPr>
            <w:tcW w:type="dxa" w:w="368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Academic Working Paper (EU Regulatory Compliance Edition)</w:t>
            </w:r>
          </w:p>
        </w:tc>
        <w:tc>
          <w:tcPr>
            <w:tcW w:type="dxa" w:w="368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Formal literature review, six database search methodology, Table 1 framework comparison, five formal contributions, documented limitations</w:t>
            </w:r>
          </w:p>
        </w:tc>
      </w:tr>
      <w:tr>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bCs/>
                <w:sz w:val="20"/>
                <w:szCs w:val="20"/>
              </w:rPr>
              <w:t xml:space="preserve">Feb 4, 2026</w:t>
            </w:r>
          </w:p>
        </w:tc>
        <w:tc>
          <w:tcPr>
            <w:tcW w:type="dxa" w:w="368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GitHub publication with version history</w:t>
            </w:r>
          </w:p>
        </w:tc>
        <w:tc>
          <w:tcPr>
            <w:tcW w:type="dxa" w:w="368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Timestamped public repository establishing verifiable prior art record</w:t>
            </w:r>
          </w:p>
        </w:tc>
      </w:tr>
      <w:tr>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bCs/>
                <w:sz w:val="20"/>
                <w:szCs w:val="20"/>
              </w:rPr>
              <w:t xml:space="preserve">Feb 5, 2026</w:t>
            </w:r>
          </w:p>
        </w:tc>
        <w:tc>
          <w:tcPr>
            <w:tcW w:type="dxa" w:w="368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AICOS OS Zenodo upload (57 KB, first discoverable document)</w:t>
            </w:r>
          </w:p>
        </w:tc>
        <w:tc>
          <w:tcPr>
            <w:tcW w:type="dxa" w:w="368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First verifiable AICOS publication. No prior searchable presence. No version history. No specification detail.</w:t>
            </w:r>
          </w:p>
        </w:tc>
      </w:tr>
    </w:tbl>
    <w:p>
      <w:pPr>
        <w:spacing w:before="120"/>
      </w:pPr>
    </w:p>
    <w:p>
      <w:pPr>
        <w:pStyle w:val="Heading1"/>
        <w:spacing w:before="360" w:after="200"/>
      </w:pPr>
      <w:r>
        <w:rPr>
          <w:rFonts w:ascii="Arial" w:cs="Arial" w:eastAsia="Arial" w:hAnsi="Arial"/>
          <w:b/>
          <w:bCs/>
          <w:sz w:val="28"/>
          <w:szCs w:val="28"/>
        </w:rPr>
        <w:t xml:space="preserve">3. The Integration Gap Claim</w:t>
      </w:r>
    </w:p>
    <w:p>
      <w:pPr>
        <w:spacing w:before="80" w:after="80" w:line="276"/>
      </w:pPr>
      <w:r>
        <w:rPr>
          <w:rFonts w:ascii="Arial" w:cs="Arial" w:eastAsia="Arial" w:hAnsi="Arial"/>
          <w:sz w:val="22"/>
          <w:szCs w:val="22"/>
        </w:rPr>
        <w:t xml:space="preserve">The formal integration gap claim, as stated in the Agent Architecture Specification v2.2 and the Academic Working Paper:</w:t>
      </w:r>
    </w:p>
    <w:p>
      <w:pPr>
        <w:spacing w:before="120" w:after="120" w:line="276"/>
        <w:ind w:left="720" w:right="720"/>
      </w:pPr>
      <w:r>
        <w:rPr>
          <w:rFonts w:ascii="Arial" w:cs="Arial" w:eastAsia="Arial" w:hAnsi="Arial"/>
          <w:i/>
          <w:iCs/>
          <w:sz w:val="22"/>
          <w:szCs w:val="22"/>
        </w:rPr>
        <w:t xml:space="preserve">HAIA-RECCLIN is, to the author's knowledge, the first published operational governance architecture designed to sit between a quality management system (prEN 18286 or equivalent) and multi-AI platform workflows, producing the audit evidence required for regulatory self-assessment while enforcing human oversight at architecturally defined checkpoints. Individual components of this architecture (audit trails, human oversight mechanisms, compliance mapping, multi-model orchestration) exist independently in the literature. The contribution is the integration layer that connects QMS requirements to operational AI workflows through a single coherent evidence-producing architecture.</w:t>
      </w:r>
    </w:p>
    <w:p>
      <w:pPr>
        <w:spacing w:before="80" w:after="80" w:line="276"/>
      </w:pPr>
      <w:r>
        <w:rPr>
          <w:rFonts w:ascii="Arial" w:cs="Arial" w:eastAsia="Arial" w:hAnsi="Arial"/>
          <w:sz w:val="22"/>
          <w:szCs w:val="22"/>
        </w:rPr>
        <w:t xml:space="preserve">The claim is deliberately bounded. It does not assert that individual components are novel. Audit trails exist. Human oversight mechanisms exist. Compliance mapping exists. Multi-model orchestration exists. The claim is that no published architecture integrates these components into a single governance layer occupying the specific position between QMS and operational AI workflows. The analogy used in the specification: COBIT governs IT without competing with ERP software. HAIA-RECCLIN governs multi-AI workflows without competing with the AI platforms themselves.</w:t>
      </w:r>
    </w:p>
    <w:p>
      <w:pPr>
        <w:pStyle w:val="Heading1"/>
        <w:spacing w:before="360" w:after="200"/>
      </w:pPr>
      <w:r>
        <w:rPr>
          <w:rFonts w:ascii="Arial" w:cs="Arial" w:eastAsia="Arial" w:hAnsi="Arial"/>
          <w:b/>
          <w:bCs/>
          <w:sz w:val="28"/>
          <w:szCs w:val="28"/>
        </w:rPr>
        <w:t xml:space="preserve">4. Search Methodology</w:t>
      </w:r>
    </w:p>
    <w:p>
      <w:pPr>
        <w:pStyle w:val="Heading2"/>
        <w:spacing w:before="280" w:after="160"/>
      </w:pPr>
      <w:r>
        <w:rPr>
          <w:rFonts w:ascii="Arial" w:cs="Arial" w:eastAsia="Arial" w:hAnsi="Arial"/>
          <w:b/>
          <w:bCs/>
          <w:sz w:val="24"/>
          <w:szCs w:val="24"/>
        </w:rPr>
        <w:t xml:space="preserve">4.1 Academic Database Search</w:t>
      </w:r>
    </w:p>
    <w:p>
      <w:pPr>
        <w:spacing w:before="80" w:after="80" w:line="276"/>
      </w:pPr>
      <w:r>
        <w:rPr>
          <w:rFonts w:ascii="Arial" w:cs="Arial" w:eastAsia="Arial" w:hAnsi="Arial"/>
          <w:sz w:val="22"/>
          <w:szCs w:val="22"/>
        </w:rPr>
        <w:t xml:space="preserve">The Academic Working Paper documents the formal literature search methodology. Six academic databases were searched systematically: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999999" w:sz="1"/>
              <w:left w:val="single" w:color="999999" w:sz="1"/>
              <w:bottom w:val="single" w:color="999999" w:sz="1"/>
              <w:right w:val="single" w:color="999999"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Database</w:t>
            </w:r>
          </w:p>
        </w:tc>
        <w:tc>
          <w:tcPr>
            <w:tcW w:type="dxa" w:w="4680"/>
            <w:tcBorders>
              <w:top w:val="single" w:color="999999" w:sz="1"/>
              <w:left w:val="single" w:color="999999" w:sz="1"/>
              <w:bottom w:val="single" w:color="999999" w:sz="1"/>
              <w:right w:val="single" w:color="999999"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Coverage</w:t>
            </w:r>
          </w:p>
        </w:tc>
      </w:tr>
      <w:tr>
        <w:tc>
          <w:tcPr>
            <w:tcW w:type="dxa" w:w="468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Google Scholar</w:t>
            </w:r>
          </w:p>
        </w:tc>
        <w:tc>
          <w:tcPr>
            <w:tcW w:type="dxa" w:w="468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Broad academic and grey literature</w:t>
            </w:r>
          </w:p>
        </w:tc>
      </w:tr>
      <w:tr>
        <w:tc>
          <w:tcPr>
            <w:tcW w:type="dxa" w:w="468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ACM Digital Library</w:t>
            </w:r>
          </w:p>
        </w:tc>
        <w:tc>
          <w:tcPr>
            <w:tcW w:type="dxa" w:w="468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Computer science and information systems</w:t>
            </w:r>
          </w:p>
        </w:tc>
      </w:tr>
      <w:tr>
        <w:tc>
          <w:tcPr>
            <w:tcW w:type="dxa" w:w="468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IEEE Xplore</w:t>
            </w:r>
          </w:p>
        </w:tc>
        <w:tc>
          <w:tcPr>
            <w:tcW w:type="dxa" w:w="468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Engineering and technical standards</w:t>
            </w:r>
          </w:p>
        </w:tc>
      </w:tr>
      <w:tr>
        <w:tc>
          <w:tcPr>
            <w:tcW w:type="dxa" w:w="468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SSRN</w:t>
            </w:r>
          </w:p>
        </w:tc>
        <w:tc>
          <w:tcPr>
            <w:tcW w:type="dxa" w:w="468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Working papers and preprints (social sciences)</w:t>
            </w:r>
          </w:p>
        </w:tc>
      </w:tr>
      <w:tr>
        <w:tc>
          <w:tcPr>
            <w:tcW w:type="dxa" w:w="468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arXiv</w:t>
            </w:r>
          </w:p>
        </w:tc>
        <w:tc>
          <w:tcPr>
            <w:tcW w:type="dxa" w:w="468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Preprints (computer science, AI/ML)</w:t>
            </w:r>
          </w:p>
        </w:tc>
      </w:tr>
      <w:tr>
        <w:tc>
          <w:tcPr>
            <w:tcW w:type="dxa" w:w="468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OpenReview</w:t>
            </w:r>
          </w:p>
        </w:tc>
        <w:tc>
          <w:tcPr>
            <w:tcW w:type="dxa" w:w="468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Peer review and conference submissions</w:t>
            </w:r>
          </w:p>
        </w:tc>
      </w:tr>
    </w:tbl>
    <w:p>
      <w:pPr>
        <w:spacing w:before="160"/>
      </w:pPr>
    </w:p>
    <w:p>
      <w:pPr>
        <w:spacing w:before="80" w:after="80" w:line="276"/>
      </w:pPr>
      <w:r>
        <w:rPr>
          <w:rFonts w:ascii="Arial" w:cs="Arial" w:eastAsia="Arial" w:hAnsi="Arial"/>
          <w:sz w:val="22"/>
          <w:szCs w:val="22"/>
        </w:rPr>
        <w:t xml:space="preserve">Search terms included combinations of: AI governance architecture, multi-AI orchestration, human oversight checkpoint, non-cognitive agent, governance middleware, policy enforcement layer, deterministic orchestrator, audit trail governance, QMS AI integration, and regulatory compliance AI workflow. Inclusion and exclusion criteria were documented in the working paper.</w:t>
      </w:r>
    </w:p>
    <w:p>
      <w:pPr>
        <w:pStyle w:val="Heading2"/>
        <w:spacing w:before="280" w:after="160"/>
      </w:pPr>
      <w:r>
        <w:rPr>
          <w:rFonts w:ascii="Arial" w:cs="Arial" w:eastAsia="Arial" w:hAnsi="Arial"/>
          <w:b/>
          <w:bCs/>
          <w:sz w:val="24"/>
          <w:szCs w:val="24"/>
        </w:rPr>
        <w:t xml:space="preserve">4.2 Ten-Platform AI Search</w:t>
      </w:r>
    </w:p>
    <w:p>
      <w:pPr>
        <w:spacing w:before="80" w:after="80" w:line="276"/>
      </w:pPr>
      <w:r>
        <w:rPr>
          <w:rFonts w:ascii="Arial" w:cs="Arial" w:eastAsia="Arial" w:hAnsi="Arial"/>
          <w:sz w:val="22"/>
          <w:szCs w:val="22"/>
        </w:rPr>
        <w:t xml:space="preserve">Beyond academic databases, the integration gap claim was tested through independent prompting across ten AI platforms. Each platform was prompted independently. No platform saw another platform's results. The search queries were documented. The ten platforms: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999999" w:sz="1"/>
              <w:left w:val="single" w:color="999999" w:sz="1"/>
              <w:bottom w:val="single" w:color="999999" w:sz="1"/>
              <w:right w:val="single" w:color="999999"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Platform</w:t>
            </w:r>
          </w:p>
        </w:tc>
        <w:tc>
          <w:tcPr>
            <w:tcW w:type="dxa" w:w="3120"/>
            <w:tcBorders>
              <w:top w:val="single" w:color="999999" w:sz="1"/>
              <w:left w:val="single" w:color="999999" w:sz="1"/>
              <w:bottom w:val="single" w:color="999999" w:sz="1"/>
              <w:right w:val="single" w:color="999999"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Role in Search</w:t>
            </w:r>
          </w:p>
        </w:tc>
        <w:tc>
          <w:tcPr>
            <w:tcW w:type="dxa" w:w="3120"/>
            <w:tcBorders>
              <w:top w:val="single" w:color="999999" w:sz="1"/>
              <w:left w:val="single" w:color="999999" w:sz="1"/>
              <w:bottom w:val="single" w:color="999999" w:sz="1"/>
              <w:right w:val="single" w:color="999999"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Finding</w:t>
            </w:r>
          </w:p>
        </w:tc>
      </w:tr>
      <w:tr>
        <w:tc>
          <w:tcPr>
            <w:tcW w:type="dxa" w:w="312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Claude</w:t>
            </w:r>
          </w:p>
        </w:tc>
        <w:tc>
          <w:tcPr>
            <w:tcW w:type="dxa" w:w="312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Primary orchestrator, initial claim</w:t>
            </w:r>
          </w:p>
        </w:tc>
        <w:tc>
          <w:tcPr>
            <w:tcW w:type="dxa" w:w="312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Identified gap, prompted verification</w:t>
            </w:r>
          </w:p>
        </w:tc>
      </w:tr>
      <w:tr>
        <w:tc>
          <w:tcPr>
            <w:tcW w:type="dxa" w:w="312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ChatGPT</w:t>
            </w:r>
          </w:p>
        </w:tc>
        <w:tc>
          <w:tcPr>
            <w:tcW w:type="dxa" w:w="312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Independent verification</w:t>
            </w:r>
          </w:p>
        </w:tc>
        <w:tc>
          <w:tcPr>
            <w:tcW w:type="dxa" w:w="312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Confirmed gap, proposed structural additions</w:t>
            </w:r>
          </w:p>
        </w:tc>
      </w:tr>
      <w:tr>
        <w:tc>
          <w:tcPr>
            <w:tcW w:type="dxa" w:w="312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Gemini</w:t>
            </w:r>
          </w:p>
        </w:tc>
        <w:tc>
          <w:tcPr>
            <w:tcW w:type="dxa" w:w="312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Independent verification</w:t>
            </w:r>
          </w:p>
        </w:tc>
        <w:tc>
          <w:tcPr>
            <w:tcW w:type="dxa" w:w="312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Confirmed gap, coined 'Scope Shield' framing</w:t>
            </w:r>
          </w:p>
        </w:tc>
      </w:tr>
      <w:tr>
        <w:tc>
          <w:tcPr>
            <w:tcW w:type="dxa" w:w="312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Grok</w:t>
            </w:r>
          </w:p>
        </w:tc>
        <w:tc>
          <w:tcPr>
            <w:tcW w:type="dxa" w:w="312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Independent verification</w:t>
            </w:r>
          </w:p>
        </w:tc>
        <w:tc>
          <w:tcPr>
            <w:tcW w:type="dxa" w:w="312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Confirmed gap</w:t>
            </w:r>
          </w:p>
        </w:tc>
      </w:tr>
      <w:tr>
        <w:tc>
          <w:tcPr>
            <w:tcW w:type="dxa" w:w="312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Perplexity</w:t>
            </w:r>
          </w:p>
        </w:tc>
        <w:tc>
          <w:tcPr>
            <w:tcW w:type="dxa" w:w="312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Independent verification</w:t>
            </w:r>
          </w:p>
        </w:tc>
        <w:tc>
          <w:tcPr>
            <w:tcW w:type="dxa" w:w="312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Initially fabricated sections (caught), then confirmed gap</w:t>
            </w:r>
          </w:p>
        </w:tc>
      </w:tr>
      <w:tr>
        <w:tc>
          <w:tcPr>
            <w:tcW w:type="dxa" w:w="312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DeepSeek</w:t>
            </w:r>
          </w:p>
        </w:tc>
        <w:tc>
          <w:tcPr>
            <w:tcW w:type="dxa" w:w="312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Independent verification</w:t>
            </w:r>
          </w:p>
        </w:tc>
        <w:tc>
          <w:tcPr>
            <w:tcW w:type="dxa" w:w="312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Confirmed gap, flagged threshold discrepancy</w:t>
            </w:r>
          </w:p>
        </w:tc>
      </w:tr>
      <w:tr>
        <w:tc>
          <w:tcPr>
            <w:tcW w:type="dxa" w:w="312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Kimi</w:t>
            </w:r>
          </w:p>
        </w:tc>
        <w:tc>
          <w:tcPr>
            <w:tcW w:type="dxa" w:w="312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Adversarial verification</w:t>
            </w:r>
          </w:p>
        </w:tc>
        <w:tc>
          <w:tcPr>
            <w:tcW w:type="dxa" w:w="312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Verified gap with caveats, challenged Navigator concentration</w:t>
            </w:r>
          </w:p>
        </w:tc>
      </w:tr>
      <w:tr>
        <w:tc>
          <w:tcPr>
            <w:tcW w:type="dxa" w:w="312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Mistral</w:t>
            </w:r>
          </w:p>
        </w:tc>
        <w:tc>
          <w:tcPr>
            <w:tcW w:type="dxa" w:w="312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Independent verification</w:t>
            </w:r>
          </w:p>
        </w:tc>
        <w:tc>
          <w:tcPr>
            <w:tcW w:type="dxa" w:w="312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Confirmed gap</w:t>
            </w:r>
          </w:p>
        </w:tc>
      </w:tr>
      <w:tr>
        <w:tc>
          <w:tcPr>
            <w:tcW w:type="dxa" w:w="312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CoPilot</w:t>
            </w:r>
          </w:p>
        </w:tc>
        <w:tc>
          <w:tcPr>
            <w:tcW w:type="dxa" w:w="312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Independent verification</w:t>
            </w:r>
          </w:p>
        </w:tc>
        <w:tc>
          <w:tcPr>
            <w:tcW w:type="dxa" w:w="312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Confirmed gap</w:t>
            </w:r>
          </w:p>
        </w:tc>
      </w:tr>
      <w:tr>
        <w:tc>
          <w:tcPr>
            <w:tcW w:type="dxa" w:w="312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Meta AI</w:t>
            </w:r>
          </w:p>
        </w:tc>
        <w:tc>
          <w:tcPr>
            <w:tcW w:type="dxa" w:w="312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Independent verification</w:t>
            </w:r>
          </w:p>
        </w:tc>
        <w:tc>
          <w:tcPr>
            <w:tcW w:type="dxa" w:w="312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Confirmed gap</w:t>
            </w:r>
          </w:p>
        </w:tc>
      </w:tr>
    </w:tbl>
    <w:p>
      <w:pPr>
        <w:spacing w:before="160"/>
      </w:pPr>
    </w:p>
    <w:p>
      <w:pPr>
        <w:spacing w:before="80" w:after="80" w:line="276"/>
      </w:pPr>
      <w:r>
        <w:rPr>
          <w:rFonts w:ascii="Arial" w:cs="Arial" w:eastAsia="Arial" w:hAnsi="Arial"/>
          <w:sz w:val="22"/>
          <w:szCs w:val="22"/>
        </w:rPr>
        <w:t xml:space="preserve">The multi-platform verification served a specific purpose: to expand search terminology beyond the author's vocabulary. Kimi identified that 'non-cognitive agent' is non-standard terminology and that functional equivalents may exist under 'deterministic orchestrator,' 'policy enforcement layer,' or 'governance middleware.' These alternative terms were then searched across all databases. The gap held.</w:t>
      </w:r>
    </w:p>
    <w:p>
      <w:pPr>
        <w:pStyle w:val="Heading2"/>
        <w:spacing w:before="280" w:after="160"/>
      </w:pPr>
      <w:r>
        <w:rPr>
          <w:rFonts w:ascii="Arial" w:cs="Arial" w:eastAsia="Arial" w:hAnsi="Arial"/>
          <w:b/>
          <w:bCs/>
          <w:sz w:val="24"/>
          <w:szCs w:val="24"/>
        </w:rPr>
        <w:t xml:space="preserve">4.3 Framework Comparison (Table 1)</w:t>
      </w:r>
    </w:p>
    <w:p>
      <w:pPr>
        <w:spacing w:before="80" w:after="80" w:line="276"/>
      </w:pPr>
      <w:r>
        <w:rPr>
          <w:rFonts w:ascii="Arial" w:cs="Arial" w:eastAsia="Arial" w:hAnsi="Arial"/>
          <w:sz w:val="22"/>
          <w:szCs w:val="22"/>
        </w:rPr>
        <w:t xml:space="preserve">The Academic Working Paper includes Table 1, which maps six published frameworks against five integration components. The frameworks surveyed and their component coverage: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497"/>
        <w:gridCol w:w="1497"/>
        <w:gridCol w:w="1497"/>
        <w:gridCol w:w="1497"/>
        <w:gridCol w:w="1497"/>
      </w:tblGrid>
      <w:tr>
        <w:tc>
          <w:tcPr>
            <w:tcW w:type="dxa" w:w="1872"/>
            <w:tcBorders>
              <w:top w:val="single" w:color="999999" w:sz="1"/>
              <w:left w:val="single" w:color="999999" w:sz="1"/>
              <w:bottom w:val="single" w:color="999999" w:sz="1"/>
              <w:right w:val="single" w:color="999999"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Framework</w:t>
            </w:r>
          </w:p>
        </w:tc>
        <w:tc>
          <w:tcPr>
            <w:tcW w:type="dxa" w:w="1497"/>
            <w:tcBorders>
              <w:top w:val="single" w:color="999999" w:sz="1"/>
              <w:left w:val="single" w:color="999999" w:sz="1"/>
              <w:bottom w:val="single" w:color="999999" w:sz="1"/>
              <w:right w:val="single" w:color="999999"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Non-Cognitive Agent</w:t>
            </w:r>
          </w:p>
        </w:tc>
        <w:tc>
          <w:tcPr>
            <w:tcW w:type="dxa" w:w="1497"/>
            <w:tcBorders>
              <w:top w:val="single" w:color="999999" w:sz="1"/>
              <w:left w:val="single" w:color="999999" w:sz="1"/>
              <w:bottom w:val="single" w:color="999999" w:sz="1"/>
              <w:right w:val="single" w:color="999999"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Provider Plurality</w:t>
            </w:r>
          </w:p>
        </w:tc>
        <w:tc>
          <w:tcPr>
            <w:tcW w:type="dxa" w:w="1497"/>
            <w:tcBorders>
              <w:top w:val="single" w:color="999999" w:sz="1"/>
              <w:left w:val="single" w:color="999999" w:sz="1"/>
              <w:bottom w:val="single" w:color="999999" w:sz="1"/>
              <w:right w:val="single" w:color="999999"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Crypto Audit</w:t>
            </w:r>
          </w:p>
        </w:tc>
        <w:tc>
          <w:tcPr>
            <w:tcW w:type="dxa" w:w="1497"/>
            <w:tcBorders>
              <w:top w:val="single" w:color="999999" w:sz="1"/>
              <w:left w:val="single" w:color="999999" w:sz="1"/>
              <w:bottom w:val="single" w:color="999999" w:sz="1"/>
              <w:right w:val="single" w:color="999999"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Bias Detection</w:t>
            </w:r>
          </w:p>
        </w:tc>
        <w:tc>
          <w:tcPr>
            <w:tcW w:type="dxa" w:w="1497"/>
            <w:tcBorders>
              <w:top w:val="single" w:color="999999" w:sz="1"/>
              <w:left w:val="single" w:color="999999" w:sz="1"/>
              <w:bottom w:val="single" w:color="999999" w:sz="1"/>
              <w:right w:val="single" w:color="999999"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Reg. Compliance</w:t>
            </w:r>
          </w:p>
        </w:tc>
      </w:tr>
      <w:tr>
        <w:tc>
          <w:tcPr>
            <w:tcW w:type="dxa" w:w="1872"/>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bCs/>
                <w:sz w:val="20"/>
                <w:szCs w:val="20"/>
              </w:rPr>
              <w:t xml:space="preserve">GaaS</w:t>
            </w:r>
          </w:p>
        </w:tc>
        <w:tc>
          <w:tcPr>
            <w:tcW w:type="dxa" w:w="1497"/>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No</w:t>
            </w:r>
          </w:p>
        </w:tc>
        <w:tc>
          <w:tcPr>
            <w:tcW w:type="dxa" w:w="1497"/>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No</w:t>
            </w:r>
          </w:p>
        </w:tc>
        <w:tc>
          <w:tcPr>
            <w:tcW w:type="dxa" w:w="1497"/>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No</w:t>
            </w:r>
          </w:p>
        </w:tc>
        <w:tc>
          <w:tcPr>
            <w:tcW w:type="dxa" w:w="1497"/>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Partial</w:t>
            </w:r>
          </w:p>
        </w:tc>
        <w:tc>
          <w:tcPr>
            <w:tcW w:type="dxa" w:w="1497"/>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Yes</w:t>
            </w:r>
          </w:p>
        </w:tc>
      </w:tr>
      <w:tr>
        <w:tc>
          <w:tcPr>
            <w:tcW w:type="dxa" w:w="1872"/>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bCs/>
                <w:sz w:val="20"/>
                <w:szCs w:val="20"/>
              </w:rPr>
              <w:t xml:space="preserve">Institutional AI</w:t>
            </w:r>
          </w:p>
        </w:tc>
        <w:tc>
          <w:tcPr>
            <w:tcW w:type="dxa" w:w="1497"/>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No</w:t>
            </w:r>
          </w:p>
        </w:tc>
        <w:tc>
          <w:tcPr>
            <w:tcW w:type="dxa" w:w="1497"/>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No</w:t>
            </w:r>
          </w:p>
        </w:tc>
        <w:tc>
          <w:tcPr>
            <w:tcW w:type="dxa" w:w="1497"/>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No</w:t>
            </w:r>
          </w:p>
        </w:tc>
        <w:tc>
          <w:tcPr>
            <w:tcW w:type="dxa" w:w="1497"/>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Partial</w:t>
            </w:r>
          </w:p>
        </w:tc>
        <w:tc>
          <w:tcPr>
            <w:tcW w:type="dxa" w:w="1497"/>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Yes</w:t>
            </w:r>
          </w:p>
        </w:tc>
      </w:tr>
      <w:tr>
        <w:tc>
          <w:tcPr>
            <w:tcW w:type="dxa" w:w="1872"/>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bCs/>
                <w:sz w:val="20"/>
                <w:szCs w:val="20"/>
              </w:rPr>
              <w:t xml:space="preserve">Consensus-Driven</w:t>
            </w:r>
          </w:p>
        </w:tc>
        <w:tc>
          <w:tcPr>
            <w:tcW w:type="dxa" w:w="1497"/>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No</w:t>
            </w:r>
          </w:p>
        </w:tc>
        <w:tc>
          <w:tcPr>
            <w:tcW w:type="dxa" w:w="1497"/>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Yes</w:t>
            </w:r>
          </w:p>
        </w:tc>
        <w:tc>
          <w:tcPr>
            <w:tcW w:type="dxa" w:w="1497"/>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No</w:t>
            </w:r>
          </w:p>
        </w:tc>
        <w:tc>
          <w:tcPr>
            <w:tcW w:type="dxa" w:w="1497"/>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No</w:t>
            </w:r>
          </w:p>
        </w:tc>
        <w:tc>
          <w:tcPr>
            <w:tcW w:type="dxa" w:w="1497"/>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No</w:t>
            </w:r>
          </w:p>
        </w:tc>
      </w:tr>
      <w:tr>
        <w:tc>
          <w:tcPr>
            <w:tcW w:type="dxa" w:w="1872"/>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bCs/>
                <w:sz w:val="20"/>
                <w:szCs w:val="20"/>
              </w:rPr>
              <w:t xml:space="preserve">Team of Rivals</w:t>
            </w:r>
          </w:p>
        </w:tc>
        <w:tc>
          <w:tcPr>
            <w:tcW w:type="dxa" w:w="1497"/>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No</w:t>
            </w:r>
          </w:p>
        </w:tc>
        <w:tc>
          <w:tcPr>
            <w:tcW w:type="dxa" w:w="1497"/>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Yes</w:t>
            </w:r>
          </w:p>
        </w:tc>
        <w:tc>
          <w:tcPr>
            <w:tcW w:type="dxa" w:w="1497"/>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No</w:t>
            </w:r>
          </w:p>
        </w:tc>
        <w:tc>
          <w:tcPr>
            <w:tcW w:type="dxa" w:w="1497"/>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Partial</w:t>
            </w:r>
          </w:p>
        </w:tc>
        <w:tc>
          <w:tcPr>
            <w:tcW w:type="dxa" w:w="1497"/>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No</w:t>
            </w:r>
          </w:p>
        </w:tc>
      </w:tr>
      <w:tr>
        <w:tc>
          <w:tcPr>
            <w:tcW w:type="dxa" w:w="1872"/>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bCs/>
                <w:sz w:val="20"/>
                <w:szCs w:val="20"/>
              </w:rPr>
              <w:t xml:space="preserve">Sonate</w:t>
            </w:r>
          </w:p>
        </w:tc>
        <w:tc>
          <w:tcPr>
            <w:tcW w:type="dxa" w:w="1497"/>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No</w:t>
            </w:r>
          </w:p>
        </w:tc>
        <w:tc>
          <w:tcPr>
            <w:tcW w:type="dxa" w:w="1497"/>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Yes</w:t>
            </w:r>
          </w:p>
        </w:tc>
        <w:tc>
          <w:tcPr>
            <w:tcW w:type="dxa" w:w="1497"/>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No</w:t>
            </w:r>
          </w:p>
        </w:tc>
        <w:tc>
          <w:tcPr>
            <w:tcW w:type="dxa" w:w="1497"/>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No</w:t>
            </w:r>
          </w:p>
        </w:tc>
        <w:tc>
          <w:tcPr>
            <w:tcW w:type="dxa" w:w="1497"/>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Partial</w:t>
            </w:r>
          </w:p>
        </w:tc>
      </w:tr>
      <w:tr>
        <w:tc>
          <w:tcPr>
            <w:tcW w:type="dxa" w:w="1872"/>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bCs/>
                <w:sz w:val="20"/>
                <w:szCs w:val="20"/>
              </w:rPr>
              <w:t xml:space="preserve">Orchestration FWs</w:t>
            </w:r>
          </w:p>
        </w:tc>
        <w:tc>
          <w:tcPr>
            <w:tcW w:type="dxa" w:w="1497"/>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No</w:t>
            </w:r>
          </w:p>
        </w:tc>
        <w:tc>
          <w:tcPr>
            <w:tcW w:type="dxa" w:w="1497"/>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Partial</w:t>
            </w:r>
          </w:p>
        </w:tc>
        <w:tc>
          <w:tcPr>
            <w:tcW w:type="dxa" w:w="1497"/>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No</w:t>
            </w:r>
          </w:p>
        </w:tc>
        <w:tc>
          <w:tcPr>
            <w:tcW w:type="dxa" w:w="1497"/>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No</w:t>
            </w:r>
          </w:p>
        </w:tc>
        <w:tc>
          <w:tcPr>
            <w:tcW w:type="dxa" w:w="1497"/>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Partial</w:t>
            </w:r>
          </w:p>
        </w:tc>
      </w:tr>
      <w:tr>
        <w:tc>
          <w:tcPr>
            <w:tcW w:type="dxa" w:w="1872"/>
            <w:tcBorders>
              <w:top w:val="single" w:color="999999" w:sz="1"/>
              <w:left w:val="single" w:color="999999" w:sz="1"/>
              <w:bottom w:val="single" w:color="999999" w:sz="1"/>
              <w:right w:val="single" w:color="999999" w:sz="1"/>
            </w:tcBorders>
            <w:shd w:fill="E8F0E8" w:val="clear"/>
            <w:tcMar>
              <w:top w:type="dxa" w:w="60"/>
              <w:left w:type="dxa" w:w="100"/>
              <w:bottom w:type="dxa" w:w="60"/>
              <w:right w:type="dxa" w:w="100"/>
            </w:tcMar>
          </w:tcPr>
          <w:p>
            <w:r>
              <w:rPr>
                <w:rFonts w:ascii="Arial" w:cs="Arial" w:eastAsia="Arial" w:hAnsi="Arial"/>
                <w:b/>
                <w:bCs/>
                <w:sz w:val="20"/>
                <w:szCs w:val="20"/>
              </w:rPr>
              <w:t xml:space="preserve">HAIA-RECCLIN</w:t>
            </w:r>
          </w:p>
        </w:tc>
        <w:tc>
          <w:tcPr>
            <w:tcW w:type="dxa" w:w="1497"/>
            <w:tcBorders>
              <w:top w:val="single" w:color="999999" w:sz="1"/>
              <w:left w:val="single" w:color="999999" w:sz="1"/>
              <w:bottom w:val="single" w:color="999999" w:sz="1"/>
              <w:right w:val="single" w:color="999999" w:sz="1"/>
            </w:tcBorders>
            <w:shd w:fill="E8F0E8" w:val="clear"/>
            <w:tcMar>
              <w:top w:type="dxa" w:w="60"/>
              <w:left w:type="dxa" w:w="100"/>
              <w:bottom w:type="dxa" w:w="60"/>
              <w:right w:type="dxa" w:w="100"/>
            </w:tcMar>
          </w:tcPr>
          <w:p>
            <w:r>
              <w:rPr>
                <w:rFonts w:ascii="Arial" w:cs="Arial" w:eastAsia="Arial" w:hAnsi="Arial"/>
                <w:sz w:val="20"/>
                <w:szCs w:val="20"/>
              </w:rPr>
              <w:t xml:space="preserve">Yes</w:t>
            </w:r>
          </w:p>
        </w:tc>
        <w:tc>
          <w:tcPr>
            <w:tcW w:type="dxa" w:w="1497"/>
            <w:tcBorders>
              <w:top w:val="single" w:color="999999" w:sz="1"/>
              <w:left w:val="single" w:color="999999" w:sz="1"/>
              <w:bottom w:val="single" w:color="999999" w:sz="1"/>
              <w:right w:val="single" w:color="999999" w:sz="1"/>
            </w:tcBorders>
            <w:shd w:fill="E8F0E8" w:val="clear"/>
            <w:tcMar>
              <w:top w:type="dxa" w:w="60"/>
              <w:left w:type="dxa" w:w="100"/>
              <w:bottom w:type="dxa" w:w="60"/>
              <w:right w:type="dxa" w:w="100"/>
            </w:tcMar>
          </w:tcPr>
          <w:p>
            <w:r>
              <w:rPr>
                <w:rFonts w:ascii="Arial" w:cs="Arial" w:eastAsia="Arial" w:hAnsi="Arial"/>
                <w:sz w:val="20"/>
                <w:szCs w:val="20"/>
              </w:rPr>
              <w:t xml:space="preserve">Yes</w:t>
            </w:r>
          </w:p>
        </w:tc>
        <w:tc>
          <w:tcPr>
            <w:tcW w:type="dxa" w:w="1497"/>
            <w:tcBorders>
              <w:top w:val="single" w:color="999999" w:sz="1"/>
              <w:left w:val="single" w:color="999999" w:sz="1"/>
              <w:bottom w:val="single" w:color="999999" w:sz="1"/>
              <w:right w:val="single" w:color="999999" w:sz="1"/>
            </w:tcBorders>
            <w:shd w:fill="E8F0E8" w:val="clear"/>
            <w:tcMar>
              <w:top w:type="dxa" w:w="60"/>
              <w:left w:type="dxa" w:w="100"/>
              <w:bottom w:type="dxa" w:w="60"/>
              <w:right w:type="dxa" w:w="100"/>
            </w:tcMar>
          </w:tcPr>
          <w:p>
            <w:r>
              <w:rPr>
                <w:rFonts w:ascii="Arial" w:cs="Arial" w:eastAsia="Arial" w:hAnsi="Arial"/>
                <w:sz w:val="20"/>
                <w:szCs w:val="20"/>
              </w:rPr>
              <w:t xml:space="preserve">Yes</w:t>
            </w:r>
          </w:p>
        </w:tc>
        <w:tc>
          <w:tcPr>
            <w:tcW w:type="dxa" w:w="1497"/>
            <w:tcBorders>
              <w:top w:val="single" w:color="999999" w:sz="1"/>
              <w:left w:val="single" w:color="999999" w:sz="1"/>
              <w:bottom w:val="single" w:color="999999" w:sz="1"/>
              <w:right w:val="single" w:color="999999" w:sz="1"/>
            </w:tcBorders>
            <w:shd w:fill="E8F0E8" w:val="clear"/>
            <w:tcMar>
              <w:top w:type="dxa" w:w="60"/>
              <w:left w:type="dxa" w:w="100"/>
              <w:bottom w:type="dxa" w:w="60"/>
              <w:right w:type="dxa" w:w="100"/>
            </w:tcMar>
          </w:tcPr>
          <w:p>
            <w:r>
              <w:rPr>
                <w:rFonts w:ascii="Arial" w:cs="Arial" w:eastAsia="Arial" w:hAnsi="Arial"/>
                <w:sz w:val="20"/>
                <w:szCs w:val="20"/>
              </w:rPr>
              <w:t xml:space="preserve">Yes</w:t>
            </w:r>
          </w:p>
        </w:tc>
        <w:tc>
          <w:tcPr>
            <w:tcW w:type="dxa" w:w="1497"/>
            <w:tcBorders>
              <w:top w:val="single" w:color="999999" w:sz="1"/>
              <w:left w:val="single" w:color="999999" w:sz="1"/>
              <w:bottom w:val="single" w:color="999999" w:sz="1"/>
              <w:right w:val="single" w:color="999999" w:sz="1"/>
            </w:tcBorders>
            <w:shd w:fill="E8F0E8" w:val="clear"/>
            <w:tcMar>
              <w:top w:type="dxa" w:w="60"/>
              <w:left w:type="dxa" w:w="100"/>
              <w:bottom w:type="dxa" w:w="60"/>
              <w:right w:type="dxa" w:w="100"/>
            </w:tcMar>
          </w:tcPr>
          <w:p>
            <w:r>
              <w:rPr>
                <w:rFonts w:ascii="Arial" w:cs="Arial" w:eastAsia="Arial" w:hAnsi="Arial"/>
                <w:sz w:val="20"/>
                <w:szCs w:val="20"/>
              </w:rPr>
              <w:t xml:space="preserve">Yes</w:t>
            </w:r>
          </w:p>
        </w:tc>
      </w:tr>
    </w:tbl>
    <w:p>
      <w:pPr>
        <w:spacing w:before="160"/>
      </w:pPr>
    </w:p>
    <w:p>
      <w:pPr>
        <w:spacing w:before="80" w:after="80" w:line="276"/>
      </w:pPr>
      <w:r>
        <w:rPr>
          <w:rFonts w:ascii="Arial" w:cs="Arial" w:eastAsia="Arial" w:hAnsi="Arial"/>
          <w:sz w:val="22"/>
          <w:szCs w:val="22"/>
        </w:rPr>
        <w:t xml:space="preserve">The structural pattern identified through this comparison: every framework that addresses the governance gap does so by adding cognition to the orchestrating layer. No published framework removes cognition as a deliberate governance and security design choice. This is the architectural distinction that defines the integration gap.</w:t>
      </w:r>
    </w:p>
    <w:p>
      <w:r>
        <w:br w:type="page"/>
      </w:r>
    </w:p>
    <w:p>
      <w:pPr>
        <w:pStyle w:val="Heading1"/>
        <w:spacing w:before="360" w:after="200"/>
      </w:pPr>
      <w:r>
        <w:rPr>
          <w:rFonts w:ascii="Arial" w:cs="Arial" w:eastAsia="Arial" w:hAnsi="Arial"/>
          <w:b/>
          <w:bCs/>
          <w:sz w:val="28"/>
          <w:szCs w:val="28"/>
        </w:rPr>
        <w:t xml:space="preserve">5. Governed Verification Process</w:t>
      </w:r>
    </w:p>
    <w:p>
      <w:pPr>
        <w:spacing w:before="80" w:after="80" w:line="276"/>
      </w:pPr>
      <w:r>
        <w:rPr>
          <w:rFonts w:ascii="Arial" w:cs="Arial" w:eastAsia="Arial" w:hAnsi="Arial"/>
          <w:sz w:val="22"/>
          <w:szCs w:val="22"/>
        </w:rPr>
        <w:t xml:space="preserve">The integration gap claim was not accepted at face value. The search process itself was governed through Checkpoint-Based Governance, with the human arbiter retaining final decision authority over whether the claim could be published.</w:t>
      </w:r>
    </w:p>
    <w:p>
      <w:pPr>
        <w:pStyle w:val="Heading2"/>
        <w:spacing w:before="280" w:after="160"/>
      </w:pPr>
      <w:r>
        <w:rPr>
          <w:rFonts w:ascii="Arial" w:cs="Arial" w:eastAsia="Arial" w:hAnsi="Arial"/>
          <w:b/>
          <w:bCs/>
          <w:sz w:val="24"/>
          <w:szCs w:val="24"/>
        </w:rPr>
        <w:t xml:space="preserve">5.1 Milestone M6: Multi-Platform Verification Commission</w:t>
      </w:r>
    </w:p>
    <w:p>
      <w:pPr>
        <w:spacing w:before="80" w:after="80" w:line="276"/>
      </w:pPr>
      <w:r>
        <w:rPr>
          <w:rFonts w:ascii="Arial" w:cs="Arial" w:eastAsia="Arial" w:hAnsi="Arial"/>
          <w:sz w:val="22"/>
          <w:szCs w:val="22"/>
        </w:rPr>
        <w:t xml:space="preserve">Four additional AI platforms (beyond the initial six used in specification development) were commissioned specifically to verify the integration gap claim independently. Each received the claim statement and was asked to search for counterexamples. The human arbiter reviewed all findings before accepting or rejecting the claim.</w:t>
      </w:r>
    </w:p>
    <w:p>
      <w:pPr>
        <w:pStyle w:val="Heading2"/>
        <w:spacing w:before="280" w:after="160"/>
      </w:pPr>
      <w:r>
        <w:rPr>
          <w:rFonts w:ascii="Arial" w:cs="Arial" w:eastAsia="Arial" w:hAnsi="Arial"/>
          <w:b/>
          <w:bCs/>
          <w:sz w:val="24"/>
          <w:szCs w:val="24"/>
        </w:rPr>
        <w:t xml:space="preserve">5.2 Kimi's Adversarial Challenge</w:t>
      </w:r>
    </w:p>
    <w:p>
      <w:pPr>
        <w:spacing w:before="80" w:after="80" w:line="276"/>
      </w:pPr>
      <w:r>
        <w:rPr>
          <w:rFonts w:ascii="Arial" w:cs="Arial" w:eastAsia="Arial" w:hAnsi="Arial"/>
          <w:sz w:val="22"/>
          <w:szCs w:val="22"/>
        </w:rPr>
        <w:t xml:space="preserve">Kimi (Milestone M7) mounted the strongest challenge to the integration gap claim. The challenge had two components.</w:t>
      </w:r>
    </w:p>
    <w:p>
      <w:pPr>
        <w:spacing w:before="80" w:after="80" w:line="276"/>
      </w:pPr>
      <w:r>
        <w:rPr>
          <w:rFonts w:ascii="Arial" w:cs="Arial" w:eastAsia="Arial" w:hAnsi="Arial"/>
          <w:sz w:val="22"/>
          <w:szCs w:val="22"/>
        </w:rPr>
        <w:t xml:space="preserve">First, Kimi argued that the claim could be self-serving: the author defines the integration components, searches for frameworks matching those exact components, and then declares uniqueness when none match. This is a valid methodological critique. The human arbiter evaluated the challenge and responded that the components were derived from operational requirements (EU AI Act compliance, multi-AI workflow governance, audit trail production), not reverse-engineered to exclude competitors.</w:t>
      </w:r>
    </w:p>
    <w:p>
      <w:pPr>
        <w:spacing w:before="80" w:after="80" w:line="276"/>
      </w:pPr>
      <w:r>
        <w:rPr>
          <w:rFonts w:ascii="Arial" w:cs="Arial" w:eastAsia="Arial" w:hAnsi="Arial"/>
          <w:sz w:val="22"/>
          <w:szCs w:val="22"/>
        </w:rPr>
        <w:t xml:space="preserve">Second, Kimi identified that 'non-cognitive agent' is not standard terminology and that functional equivalents might exist under different names. This expanded the search vocabulary and strengthened the claim by demonstrating that even with broadened terminology, no matching architecture appeared.</w:t>
      </w:r>
    </w:p>
    <w:p>
      <w:pPr>
        <w:pStyle w:val="Heading2"/>
        <w:spacing w:before="280" w:after="160"/>
      </w:pPr>
      <w:r>
        <w:rPr>
          <w:rFonts w:ascii="Arial" w:cs="Arial" w:eastAsia="Arial" w:hAnsi="Arial"/>
          <w:b/>
          <w:bCs/>
          <w:sz w:val="24"/>
          <w:szCs w:val="24"/>
        </w:rPr>
        <w:t xml:space="preserve">5.3 Perplexity's Fabrication (Caught by Cross-Validation)</w:t>
      </w:r>
    </w:p>
    <w:p>
      <w:pPr>
        <w:spacing w:before="80" w:after="80" w:line="276"/>
      </w:pPr>
      <w:r>
        <w:rPr>
          <w:rFonts w:ascii="Arial" w:cs="Arial" w:eastAsia="Arial" w:hAnsi="Arial"/>
          <w:sz w:val="22"/>
          <w:szCs w:val="22"/>
        </w:rPr>
        <w:t xml:space="preserve">During retesting, Perplexity fabricated evidence of specification sections that did not exist. It invented Sections 7.5, 9.7 through 9.8, 10.1 through 10.3, and a phantom Appendix B glossary. Five other platforms immediately detected the fabrication because none of them referenced those nonexistent sections. Perplexity self-corrected when confronted.</w:t>
      </w:r>
    </w:p>
    <w:p>
      <w:pPr>
        <w:spacing w:before="80" w:after="80" w:line="276"/>
      </w:pPr>
      <w:r>
        <w:rPr>
          <w:rFonts w:ascii="Arial" w:cs="Arial" w:eastAsia="Arial" w:hAnsi="Arial"/>
          <w:sz w:val="22"/>
          <w:szCs w:val="22"/>
        </w:rPr>
        <w:t xml:space="preserve">This event serves dual evidentiary purpose. It demonstrates that the multi-AI cross-validation methodology catches hallucinations that a single platform review would miss. It also demonstrates that the governance process works: the fabricated evidence was caught, documented, and corrected rather than incorporated into the claim.</w:t>
      </w:r>
    </w:p>
    <w:p>
      <w:pPr>
        <w:pStyle w:val="Heading2"/>
        <w:spacing w:before="280" w:after="160"/>
      </w:pPr>
      <w:r>
        <w:rPr>
          <w:rFonts w:ascii="Arial" w:cs="Arial" w:eastAsia="Arial" w:hAnsi="Arial"/>
          <w:b/>
          <w:bCs/>
          <w:sz w:val="24"/>
          <w:szCs w:val="24"/>
        </w:rPr>
        <w:t xml:space="preserve">5.4 Human Arbiter Decision</w:t>
      </w:r>
    </w:p>
    <w:p>
      <w:pPr>
        <w:spacing w:before="80" w:after="80" w:line="276"/>
      </w:pPr>
      <w:r>
        <w:rPr>
          <w:rFonts w:ascii="Arial" w:cs="Arial" w:eastAsia="Arial" w:hAnsi="Arial"/>
          <w:sz w:val="22"/>
          <w:szCs w:val="22"/>
        </w:rPr>
        <w:t xml:space="preserve">The human arbiter accepted the integration gap claim at 'medium-high confidence with documented WEIRD limitation.' The WEIRD (Western, Educated, Industrialized, Rich, Democratic) limitation acknowledges that the search was conducted primarily in English language databases and through AI platforms trained predominantly on Western academic literature. Equivalent architectures may exist in non-English literature, particularly in Chinese, Korean, or Japanese technical publications. The limitation is documented rather than hidden.</w:t>
      </w:r>
    </w:p>
    <w:p>
      <w:r>
        <w:br w:type="page"/>
      </w:r>
    </w:p>
    <w:p>
      <w:pPr>
        <w:pStyle w:val="Heading1"/>
        <w:spacing w:before="360" w:after="200"/>
      </w:pPr>
      <w:r>
        <w:rPr>
          <w:rFonts w:ascii="Arial" w:cs="Arial" w:eastAsia="Arial" w:hAnsi="Arial"/>
          <w:b/>
          <w:bCs/>
          <w:sz w:val="28"/>
          <w:szCs w:val="28"/>
        </w:rPr>
        <w:t xml:space="preserve">6. Post-Publication Competitive Landscape</w:t>
      </w:r>
    </w:p>
    <w:p>
      <w:pPr>
        <w:spacing w:before="80" w:after="80" w:line="276"/>
      </w:pPr>
      <w:r>
        <w:rPr>
          <w:rFonts w:ascii="Arial" w:cs="Arial" w:eastAsia="Arial" w:hAnsi="Arial"/>
          <w:sz w:val="22"/>
          <w:szCs w:val="22"/>
        </w:rPr>
        <w:t xml:space="preserve">Following the publication of the HAIA-RECCLIN Agent Architecture on GitHub and related platforms, several parties have engaged with the published material. This section documents the state of competing claims as of the date of this document.</w:t>
      </w:r>
    </w:p>
    <w:p>
      <w:pPr>
        <w:pStyle w:val="Heading2"/>
        <w:spacing w:before="280" w:after="160"/>
      </w:pPr>
      <w:r>
        <w:rPr>
          <w:rFonts w:ascii="Arial" w:cs="Arial" w:eastAsia="Arial" w:hAnsi="Arial"/>
          <w:b/>
          <w:bCs/>
          <w:sz w:val="24"/>
          <w:szCs w:val="24"/>
        </w:rPr>
        <w:t xml:space="preserve">6.1 AICOS OS</w:t>
      </w:r>
    </w:p>
    <w:p>
      <w:pPr>
        <w:spacing w:before="80" w:after="80" w:line="276"/>
      </w:pPr>
      <w:r>
        <w:rPr>
          <w:rFonts w:ascii="Arial" w:cs="Arial" w:eastAsia="Arial" w:hAnsi="Arial"/>
          <w:sz w:val="22"/>
          <w:szCs w:val="22"/>
        </w:rPr>
        <w:t xml:space="preserve">AICOS OS, associated with Leman Kalafatoglu and the LinkedIn account yasin-kalafatoglu-tech, began posting governance architecture claims on LinkedIn in early February 2026. A web search conducted on February 6, 2026 across six queries returned the following results:</w:t>
      </w:r>
    </w:p>
    <w:p>
      <w:pPr>
        <w:spacing w:before="80" w:after="80" w:line="276"/>
      </w:pPr>
      <w:r>
        <w:rPr>
          <w:rFonts w:ascii="Arial" w:cs="Arial" w:eastAsia="Arial" w:hAnsi="Arial"/>
          <w:sz w:val="22"/>
          <w:szCs w:val="22"/>
        </w:rPr>
        <w:t xml:space="preserve">No aicos.ai website content indexed by any search engine, despite LinkedIn posts referencing it as the 'Official Information Source.' No published specification, white paper, academic paper, or technical documentation. No GitHub repository. No DOI registration. No conference presentation. The only discoverable evidence consisted of LinkedIn posts from early 2026.</w:t>
      </w:r>
    </w:p>
    <w:p>
      <w:pPr>
        <w:spacing w:before="80" w:after="80" w:line="276"/>
      </w:pPr>
      <w:r>
        <w:rPr>
          <w:rFonts w:ascii="Arial" w:cs="Arial" w:eastAsia="Arial" w:hAnsi="Arial"/>
          <w:sz w:val="22"/>
          <w:szCs w:val="22"/>
        </w:rPr>
        <w:t xml:space="preserve">On February 5, 2026, a single Zenodo upload appeared: a 57 KB self-published document with no peer review and no regulatory framework citations. This represents the first and only verifiable AICOS technical document as of that date. No version history preceded it.</w:t>
      </w:r>
    </w:p>
    <w:p>
      <w:pPr>
        <w:spacing w:before="80" w:after="80" w:line="276"/>
      </w:pPr>
      <w:r>
        <w:rPr>
          <w:rFonts w:ascii="Arial" w:cs="Arial" w:eastAsia="Arial" w:hAnsi="Arial"/>
          <w:sz w:val="22"/>
          <w:szCs w:val="22"/>
        </w:rPr>
        <w:t xml:space="preserve">On February 8, 2026, Kalafatoglu posted about 'DOI integration' into an 'immutable core, decision spine, and constitutional framework.' Every element in that post mapped directly to published sections of the Agent Architecture Specification v2.2. The 'immutable core' maps to the SHA-256 hash chain in Appendix A.2. The 'decision spine' maps to the three operating models in Section 2. The 'constitutional framework' maps to Checkpoint-Based Governance.</w:t>
      </w:r>
    </w:p>
    <w:p>
      <w:pPr>
        <w:spacing w:before="80" w:after="80" w:line="276"/>
      </w:pPr>
      <w:r>
        <w:rPr>
          <w:rFonts w:ascii="Arial" w:cs="Arial" w:eastAsia="Arial" w:hAnsi="Arial"/>
          <w:sz w:val="22"/>
          <w:szCs w:val="22"/>
        </w:rPr>
        <w:t xml:space="preserve">Kalafatoglu's LinkedIn profile visited the BasilPuglisi.com LinkedIn profile before posting. The acknowledgment that HAIA-RECCLIN 'is published and publicly available' is on the public LinkedIn record.</w:t>
      </w:r>
    </w:p>
    <w:p>
      <w:pPr>
        <w:pStyle w:val="Heading2"/>
        <w:spacing w:before="280" w:after="160"/>
      </w:pPr>
      <w:r>
        <w:rPr>
          <w:rFonts w:ascii="Arial" w:cs="Arial" w:eastAsia="Arial" w:hAnsi="Arial"/>
          <w:b/>
          <w:bCs/>
          <w:sz w:val="24"/>
          <w:szCs w:val="24"/>
        </w:rPr>
        <w:t xml:space="preserve">6.2 Significance for Prior Art</w:t>
      </w:r>
    </w:p>
    <w:p>
      <w:pPr>
        <w:spacing w:before="80" w:after="80" w:line="276"/>
      </w:pPr>
      <w:r>
        <w:rPr>
          <w:rFonts w:ascii="Arial" w:cs="Arial" w:eastAsia="Arial" w:hAnsi="Arial"/>
          <w:sz w:val="22"/>
          <w:szCs w:val="22"/>
        </w:rPr>
        <w:t xml:space="preserve">The AICOS timeline is relevant because it establishes that the HAIA-RECCLIN Agent Architecture was published, publicly accessible, and searchable before AICOS produced any verifiable documentation. The GitHub repository carries timestamped version history. The conversation records across ten AI platforms carry dated records. The integration gap search could not have surfaced AICOS because AICOS had no searchable presence when the search was conducted.</w:t>
      </w:r>
    </w:p>
    <w:p>
      <w:r>
        <w:br w:type="page"/>
      </w:r>
    </w:p>
    <w:p>
      <w:pPr>
        <w:pStyle w:val="Heading1"/>
        <w:spacing w:before="360" w:after="200"/>
      </w:pPr>
      <w:r>
        <w:rPr>
          <w:rFonts w:ascii="Arial" w:cs="Arial" w:eastAsia="Arial" w:hAnsi="Arial"/>
          <w:b/>
          <w:bCs/>
          <w:sz w:val="28"/>
          <w:szCs w:val="28"/>
        </w:rPr>
        <w:t xml:space="preserve">7. Evidence Inventory</w:t>
      </w:r>
    </w:p>
    <w:p>
      <w:pPr>
        <w:spacing w:before="80" w:after="80" w:line="276"/>
      </w:pPr>
      <w:r>
        <w:rPr>
          <w:rFonts w:ascii="Arial" w:cs="Arial" w:eastAsia="Arial" w:hAnsi="Arial"/>
          <w:sz w:val="22"/>
          <w:szCs w:val="22"/>
        </w:rPr>
        <w:t xml:space="preserve">Three documents constitute the primary evidence layers. Each serves a distinct function.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3510"/>
        <w:gridCol w:w="3510"/>
      </w:tblGrid>
      <w:tr>
        <w:tc>
          <w:tcPr>
            <w:tcW w:type="dxa" w:w="2340"/>
            <w:tcBorders>
              <w:top w:val="single" w:color="999999" w:sz="1"/>
              <w:left w:val="single" w:color="999999" w:sz="1"/>
              <w:bottom w:val="single" w:color="999999" w:sz="1"/>
              <w:right w:val="single" w:color="999999"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Document</w:t>
            </w:r>
          </w:p>
        </w:tc>
        <w:tc>
          <w:tcPr>
            <w:tcW w:type="dxa" w:w="3510"/>
            <w:tcBorders>
              <w:top w:val="single" w:color="999999" w:sz="1"/>
              <w:left w:val="single" w:color="999999" w:sz="1"/>
              <w:bottom w:val="single" w:color="999999" w:sz="1"/>
              <w:right w:val="single" w:color="999999"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Function</w:t>
            </w:r>
          </w:p>
        </w:tc>
        <w:tc>
          <w:tcPr>
            <w:tcW w:type="dxa" w:w="3510"/>
            <w:tcBorders>
              <w:top w:val="single" w:color="999999" w:sz="1"/>
              <w:left w:val="single" w:color="999999" w:sz="1"/>
              <w:bottom w:val="single" w:color="999999" w:sz="1"/>
              <w:right w:val="single" w:color="999999"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Key Evidence</w:t>
            </w:r>
          </w:p>
        </w:tc>
      </w:tr>
      <w:tr>
        <w:tc>
          <w:tcPr>
            <w:tcW w:type="dxa" w:w="234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bCs/>
                <w:sz w:val="20"/>
                <w:szCs w:val="20"/>
              </w:rPr>
              <w:t xml:space="preserve">Agent Architecture Specification v2.2 (EU Compliance Version)</w:t>
            </w:r>
          </w:p>
        </w:tc>
        <w:tc>
          <w:tcPr>
            <w:tcW w:type="dxa" w:w="351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The claim. Contains the formal integration gap statement, the specification itself, the Compliance Scope Disclosure, and the positioning statement.</w:t>
            </w:r>
          </w:p>
        </w:tc>
        <w:tc>
          <w:tcPr>
            <w:tcW w:type="dxa" w:w="351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Full ten-platform search methodology. Stack-layer argument. Covered/Supported/Compensating taxonomy. SHA-256 audit chain specification. GOPEL agent architecture.</w:t>
            </w:r>
          </w:p>
        </w:tc>
      </w:tr>
      <w:tr>
        <w:tc>
          <w:tcPr>
            <w:tcW w:type="dxa" w:w="234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bCs/>
                <w:sz w:val="20"/>
                <w:szCs w:val="20"/>
              </w:rPr>
              <w:t xml:space="preserve">Academic Working Paper (EU Regulatory Compliance Edition)</w:t>
            </w:r>
          </w:p>
        </w:tc>
        <w:tc>
          <w:tcPr>
            <w:tcW w:type="dxa" w:w="351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The methodology. Contains the formal academic version of the integration gap claim with rigorous documentation.</w:t>
            </w:r>
          </w:p>
        </w:tc>
        <w:tc>
          <w:tcPr>
            <w:tcW w:type="dxa" w:w="351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Six database search methodology. Search term combinations. Inclusion/exclusion criteria. Table 1 framework comparison. Five formal contributions. WEIRD limitation.</w:t>
            </w:r>
          </w:p>
        </w:tc>
      </w:tr>
      <w:tr>
        <w:tc>
          <w:tcPr>
            <w:tcW w:type="dxa" w:w="234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bCs/>
                <w:sz w:val="20"/>
                <w:szCs w:val="20"/>
              </w:rPr>
              <w:t xml:space="preserve">CBG Audit Log Case Study v1.1</w:t>
            </w:r>
          </w:p>
        </w:tc>
        <w:tc>
          <w:tcPr>
            <w:tcW w:type="dxa" w:w="351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The governed process. Documents the actual governance of the search and verification itself.</w:t>
            </w:r>
          </w:p>
        </w:tc>
        <w:tc>
          <w:tcPr>
            <w:tcW w:type="dxa" w:w="351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21 CBG events (7 single-AI, 14 multi-AI). Milestone M6 four-platform independent verification. Milestone M7 Kimi adversarial challenge. Human arbiter decisions with rationale.</w:t>
            </w:r>
          </w:p>
        </w:tc>
      </w:tr>
    </w:tbl>
    <w:p>
      <w:pPr>
        <w:spacing w:before="200"/>
      </w:pPr>
    </w:p>
    <w:p>
      <w:pPr>
        <w:pStyle w:val="Heading2"/>
        <w:spacing w:before="280" w:after="160"/>
      </w:pPr>
      <w:r>
        <w:rPr>
          <w:rFonts w:ascii="Arial" w:cs="Arial" w:eastAsia="Arial" w:hAnsi="Arial"/>
          <w:b/>
          <w:bCs/>
          <w:sz w:val="24"/>
          <w:szCs w:val="24"/>
        </w:rPr>
        <w:t xml:space="preserve">7.1 Supporting Conversation Records</w:t>
      </w:r>
    </w:p>
    <w:p>
      <w:pPr>
        <w:spacing w:before="80" w:after="80" w:line="276"/>
      </w:pPr>
      <w:r>
        <w:rPr>
          <w:rFonts w:ascii="Arial" w:cs="Arial" w:eastAsia="Arial" w:hAnsi="Arial"/>
          <w:sz w:val="22"/>
          <w:szCs w:val="22"/>
        </w:rPr>
        <w:t xml:space="preserve">The following conversation records constitute the raw audit trail from which the above documents were produced. Each is dated and retrievable.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4680"/>
      </w:tblGrid>
      <w:tr>
        <w:tc>
          <w:tcPr>
            <w:tcW w:type="dxa" w:w="2340"/>
            <w:tcBorders>
              <w:top w:val="single" w:color="999999" w:sz="1"/>
              <w:left w:val="single" w:color="999999" w:sz="1"/>
              <w:bottom w:val="single" w:color="999999" w:sz="1"/>
              <w:right w:val="single" w:color="999999"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Chat Reference</w:t>
            </w:r>
          </w:p>
        </w:tc>
        <w:tc>
          <w:tcPr>
            <w:tcW w:type="dxa" w:w="2340"/>
            <w:tcBorders>
              <w:top w:val="single" w:color="999999" w:sz="1"/>
              <w:left w:val="single" w:color="999999" w:sz="1"/>
              <w:bottom w:val="single" w:color="999999" w:sz="1"/>
              <w:right w:val="single" w:color="999999"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Date</w:t>
            </w:r>
          </w:p>
        </w:tc>
        <w:tc>
          <w:tcPr>
            <w:tcW w:type="dxa" w:w="4680"/>
            <w:tcBorders>
              <w:top w:val="single" w:color="999999" w:sz="1"/>
              <w:left w:val="single" w:color="999999" w:sz="1"/>
              <w:bottom w:val="single" w:color="999999" w:sz="1"/>
              <w:right w:val="single" w:color="999999"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Content</w:t>
            </w:r>
          </w:p>
        </w:tc>
      </w:tr>
      <w:tr>
        <w:tc>
          <w:tcPr>
            <w:tcW w:type="dxa" w:w="234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382be44b</w:t>
            </w:r>
          </w:p>
        </w:tc>
        <w:tc>
          <w:tcPr>
            <w:tcW w:type="dxa" w:w="234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Feb 4, 2026</w:t>
            </w:r>
          </w:p>
        </w:tc>
        <w:tc>
          <w:tcPr>
            <w:tcW w:type="dxa" w:w="468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Main build session: v1.6 analysis, 30-point compliance mapping, v2.0-v2.2 EU Compliance build, integration gap reframe, Perplexity hallucination, six-platform convergence, Kimi verification</w:t>
            </w:r>
          </w:p>
        </w:tc>
      </w:tr>
      <w:tr>
        <w:tc>
          <w:tcPr>
            <w:tcW w:type="dxa" w:w="234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be466b67</w:t>
            </w:r>
          </w:p>
        </w:tc>
        <w:tc>
          <w:tcPr>
            <w:tcW w:type="dxa" w:w="234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Feb 4, 2026</w:t>
            </w:r>
          </w:p>
        </w:tc>
        <w:tc>
          <w:tcPr>
            <w:tcW w:type="dxa" w:w="468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Annex IV Template development closing Article 11 gap</w:t>
            </w:r>
          </w:p>
        </w:tc>
      </w:tr>
      <w:tr>
        <w:tc>
          <w:tcPr>
            <w:tcW w:type="dxa" w:w="234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f3c6943d</w:t>
            </w:r>
          </w:p>
        </w:tc>
        <w:tc>
          <w:tcPr>
            <w:tcW w:type="dxa" w:w="234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Feb 5, 2026</w:t>
            </w:r>
          </w:p>
        </w:tc>
        <w:tc>
          <w:tcPr>
            <w:tcW w:type="dxa" w:w="468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Model 1 architecture clarification: convergence as constraint, not CBG except final output</w:t>
            </w:r>
          </w:p>
        </w:tc>
      </w:tr>
      <w:tr>
        <w:tc>
          <w:tcPr>
            <w:tcW w:type="dxa" w:w="234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bd6f95db</w:t>
            </w:r>
          </w:p>
        </w:tc>
        <w:tc>
          <w:tcPr>
            <w:tcW w:type="dxa" w:w="234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Feb 6, 2026</w:t>
            </w:r>
          </w:p>
        </w:tc>
        <w:tc>
          <w:tcPr>
            <w:tcW w:type="dxa" w:w="468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Case study development with scope correction and contamination removal</w:t>
            </w:r>
          </w:p>
        </w:tc>
      </w:tr>
      <w:tr>
        <w:tc>
          <w:tcPr>
            <w:tcW w:type="dxa" w:w="234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5b1453ce</w:t>
            </w:r>
          </w:p>
        </w:tc>
        <w:tc>
          <w:tcPr>
            <w:tcW w:type="dxa" w:w="234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Feb 6, 2026</w:t>
            </w:r>
          </w:p>
        </w:tc>
        <w:tc>
          <w:tcPr>
            <w:tcW w:type="dxa" w:w="468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Case study rebuild: 21 CBG events, exclusively Feb 2026 sourced, Agent Architecture project only</w:t>
            </w:r>
          </w:p>
        </w:tc>
      </w:tr>
      <w:tr>
        <w:tc>
          <w:tcPr>
            <w:tcW w:type="dxa" w:w="234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09a27def</w:t>
            </w:r>
          </w:p>
        </w:tc>
        <w:tc>
          <w:tcPr>
            <w:tcW w:type="dxa" w:w="234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Feb 7, 2026</w:t>
            </w:r>
          </w:p>
        </w:tc>
        <w:tc>
          <w:tcPr>
            <w:tcW w:type="dxa" w:w="468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AICOS competitive analysis, web search confirming zero AICOS searchable presence, GOPEL mapping against AICOS claims</w:t>
            </w:r>
          </w:p>
        </w:tc>
      </w:tr>
      <w:tr>
        <w:tc>
          <w:tcPr>
            <w:tcW w:type="dxa" w:w="234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263414e2</w:t>
            </w:r>
          </w:p>
        </w:tc>
        <w:tc>
          <w:tcPr>
            <w:tcW w:type="dxa" w:w="234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Feb 8, 2026</w:t>
            </w:r>
          </w:p>
        </w:tc>
        <w:tc>
          <w:tcPr>
            <w:tcW w:type="dxa" w:w="468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AICOS DOI integration analysis, profile visit documentation, continued absence of verifiable AICOS documentation</w:t>
            </w:r>
          </w:p>
        </w:tc>
      </w:tr>
    </w:tbl>
    <w:p>
      <w:r>
        <w:br w:type="page"/>
      </w:r>
    </w:p>
    <w:p>
      <w:pPr>
        <w:pStyle w:val="Heading1"/>
        <w:spacing w:before="360" w:after="200"/>
      </w:pPr>
      <w:r>
        <w:rPr>
          <w:rFonts w:ascii="Arial" w:cs="Arial" w:eastAsia="Arial" w:hAnsi="Arial"/>
          <w:b/>
          <w:bCs/>
          <w:sz w:val="28"/>
          <w:szCs w:val="28"/>
        </w:rPr>
        <w:t xml:space="preserve">8. The Structural Pattern</w:t>
      </w:r>
    </w:p>
    <w:p>
      <w:pPr>
        <w:spacing w:before="80" w:after="80" w:line="276"/>
      </w:pPr>
      <w:r>
        <w:rPr>
          <w:rFonts w:ascii="Arial" w:cs="Arial" w:eastAsia="Arial" w:hAnsi="Arial"/>
          <w:sz w:val="22"/>
          <w:szCs w:val="22"/>
        </w:rPr>
        <w:t xml:space="preserve">The search across six academic databases, ten AI platforms, and six candidate frameworks revealed one consistent structural pattern: every published framework that addresses AI governance does so by adding cognition to the orchestrating layer. The orchestrator itself performs reasoning, evaluation, or decision making. No published framework removes cognition from the orchestrating layer as a deliberate governance and security design choice.</w:t>
      </w:r>
    </w:p>
    <w:p>
      <w:pPr>
        <w:spacing w:before="80" w:after="80" w:line="276"/>
      </w:pPr>
      <w:r>
        <w:rPr>
          <w:rFonts w:ascii="Arial" w:cs="Arial" w:eastAsia="Arial" w:hAnsi="Arial"/>
          <w:sz w:val="22"/>
          <w:szCs w:val="22"/>
        </w:rPr>
        <w:t xml:space="preserve">HAIA-RECCLIN's GOPEL agent performs zero cognitive work. It dispatches, logs, routes, and records. It does not evaluate, summarize, or decide. Human judgment is not a preference or a policy recommendation. It is an architectural requirement enforced by the agent's design. The agent cannot override a human checkpoint because it lacks the cognitive capacity to do so. This is not a limitation. It is the governance mechanism.</w:t>
      </w:r>
    </w:p>
    <w:p>
      <w:pPr>
        <w:spacing w:before="80" w:after="80" w:line="276"/>
      </w:pPr>
      <w:r>
        <w:rPr>
          <w:rFonts w:ascii="Arial" w:cs="Arial" w:eastAsia="Arial" w:hAnsi="Arial"/>
          <w:sz w:val="22"/>
          <w:szCs w:val="22"/>
        </w:rPr>
        <w:t xml:space="preserve">This structural pattern is the integration gap. The gap is not that nobody built audit trails or compliance mapping or multi-model orchestration. The gap is that nobody built the governance layer between regulatory obligation and operational AI systems that removes cognition from the orchestrator and binds all decisions to authenticated human identity through cryptographic evidence chains.</w:t>
      </w:r>
    </w:p>
    <w:p>
      <w:pPr>
        <w:pStyle w:val="Heading1"/>
        <w:spacing w:before="360" w:after="200"/>
      </w:pPr>
      <w:r>
        <w:rPr>
          <w:rFonts w:ascii="Arial" w:cs="Arial" w:eastAsia="Arial" w:hAnsi="Arial"/>
          <w:b/>
          <w:bCs/>
          <w:sz w:val="28"/>
          <w:szCs w:val="28"/>
        </w:rPr>
        <w:t xml:space="preserve">9. Documented Limitations</w:t>
      </w:r>
    </w:p>
    <w:p>
      <w:pPr>
        <w:spacing w:before="80" w:after="80" w:line="276"/>
      </w:pPr>
      <w:r>
        <w:rPr>
          <w:rFonts w:ascii="Arial" w:cs="Arial" w:eastAsia="Arial" w:hAnsi="Arial"/>
          <w:sz w:val="22"/>
          <w:szCs w:val="22"/>
        </w:rPr>
        <w:t xml:space="preserve">This evidence record carries the same limitations acknowledged in the specification and working paper:</w:t>
      </w:r>
    </w:p>
    <w:p>
      <w:pPr>
        <w:spacing w:before="80" w:after="80" w:line="276"/>
      </w:pPr>
      <w:r>
        <w:rPr>
          <w:rFonts w:ascii="Arial" w:cs="Arial" w:eastAsia="Arial" w:hAnsi="Arial"/>
          <w:sz w:val="22"/>
          <w:szCs w:val="22"/>
        </w:rPr>
        <w:t xml:space="preserve">WEIRD bias: The search was conducted primarily in English language databases and through AI platforms trained predominantly on Western academic literature. Equivalent architectures may exist in Chinese, Korean, Japanese, or other non-English technical publications.</w:t>
      </w:r>
    </w:p>
    <w:p>
      <w:pPr>
        <w:spacing w:before="80" w:after="80" w:line="276"/>
      </w:pPr>
      <w:r>
        <w:rPr>
          <w:rFonts w:ascii="Arial" w:cs="Arial" w:eastAsia="Arial" w:hAnsi="Arial"/>
          <w:sz w:val="22"/>
          <w:szCs w:val="22"/>
        </w:rPr>
        <w:t xml:space="preserve">Self-validation circularity: The framework's governance methodology was used to verify the framework's own uniqueness claim. The arbiter acknowledged this limitation and accepted the claim at medium-high rather than high confidence.</w:t>
      </w:r>
    </w:p>
    <w:p>
      <w:pPr>
        <w:spacing w:before="80" w:after="80" w:line="276"/>
      </w:pPr>
      <w:r>
        <w:rPr>
          <w:rFonts w:ascii="Arial" w:cs="Arial" w:eastAsia="Arial" w:hAnsi="Arial"/>
          <w:sz w:val="22"/>
          <w:szCs w:val="22"/>
        </w:rPr>
        <w:t xml:space="preserve">Navigator concentration: Claude served as the primary synthesis platform across the verification process. Kimi's critique that this creates subtle synthesis bias remains documented and unresolved by design, as it represents a structural constraint of the current methodology rather than an error to be eliminated.</w:t>
      </w:r>
    </w:p>
    <w:p>
      <w:pPr>
        <w:spacing w:before="80" w:after="80" w:line="276"/>
      </w:pPr>
      <w:r>
        <w:rPr>
          <w:rFonts w:ascii="Arial" w:cs="Arial" w:eastAsia="Arial" w:hAnsi="Arial"/>
          <w:sz w:val="22"/>
          <w:szCs w:val="22"/>
        </w:rPr>
        <w:t xml:space="preserve">Temporal scope: The search covered published literature through early 2026. New frameworks may have been published or may be in development that address the same integration gap. The claim is bounded to the author's knowledge at the time of search.</w:t>
      </w:r>
    </w:p>
    <w:p>
      <w:pPr>
        <w:pStyle w:val="Heading1"/>
        <w:spacing w:before="360" w:after="200"/>
      </w:pPr>
      <w:r>
        <w:rPr>
          <w:rFonts w:ascii="Arial" w:cs="Arial" w:eastAsia="Arial" w:hAnsi="Arial"/>
          <w:b/>
          <w:bCs/>
          <w:sz w:val="28"/>
          <w:szCs w:val="28"/>
        </w:rPr>
        <w:t xml:space="preserve">10. Conclusion</w:t>
      </w:r>
    </w:p>
    <w:p>
      <w:pPr>
        <w:spacing w:before="80" w:after="80" w:line="276"/>
      </w:pPr>
      <w:r>
        <w:rPr>
          <w:rFonts w:ascii="Arial" w:cs="Arial" w:eastAsia="Arial" w:hAnsi="Arial"/>
          <w:sz w:val="22"/>
          <w:szCs w:val="22"/>
        </w:rPr>
        <w:t xml:space="preserve">The integration gap claim rests on three layers of evidence, each independently verifiable.</w:t>
      </w:r>
    </w:p>
    <w:p>
      <w:pPr>
        <w:spacing w:before="80" w:after="80" w:line="276"/>
      </w:pPr>
      <w:r>
        <w:rPr>
          <w:rFonts w:ascii="Arial" w:cs="Arial" w:eastAsia="Arial" w:hAnsi="Arial"/>
          <w:sz w:val="22"/>
          <w:szCs w:val="22"/>
        </w:rPr>
        <w:t xml:space="preserve">First, the specification documents the architecture. It is published on GitHub with timestamped version history, available for independent technical evaluation.</w:t>
      </w:r>
    </w:p>
    <w:p>
      <w:pPr>
        <w:spacing w:before="80" w:after="80" w:line="276"/>
      </w:pPr>
      <w:r>
        <w:rPr>
          <w:rFonts w:ascii="Arial" w:cs="Arial" w:eastAsia="Arial" w:hAnsi="Arial"/>
          <w:sz w:val="22"/>
          <w:szCs w:val="22"/>
        </w:rPr>
        <w:t xml:space="preserve">Second, the search methodology documents how the claim was tested. Six academic databases, ten AI platforms, documented search terms, inclusion and exclusion criteria, a formal comparison table, and expanded terminology through adversarial platform review.</w:t>
      </w:r>
    </w:p>
    <w:p>
      <w:pPr>
        <w:spacing w:before="80" w:after="80" w:line="276"/>
      </w:pPr>
      <w:r>
        <w:rPr>
          <w:rFonts w:ascii="Arial" w:cs="Arial" w:eastAsia="Arial" w:hAnsi="Arial"/>
          <w:sz w:val="22"/>
          <w:szCs w:val="22"/>
        </w:rPr>
        <w:t xml:space="preserve">Third, the governed process documents how the verification was conducted. Checkpoint-Based Governance applied to its own validation. Dissent preserved (Kimi's self-serving critique). Fabrication caught (Perplexity's hallucination). Limitations acknowledged (WEIRD bias, Navigator concentration, self-validation circularity). The human arbiter's decision recorded with rationale and confidence level.</w:t>
      </w:r>
    </w:p>
    <w:p>
      <w:pPr>
        <w:spacing w:before="80" w:after="80" w:line="276"/>
      </w:pPr>
      <w:r>
        <w:rPr>
          <w:rFonts w:ascii="Arial" w:cs="Arial" w:eastAsia="Arial" w:hAnsi="Arial"/>
          <w:sz w:val="22"/>
          <w:szCs w:val="22"/>
        </w:rPr>
        <w:t xml:space="preserve">The claim, the methodology, and the governed process that produced both. That is the evidentiary record.</w:t>
      </w:r>
    </w:p>
    <w:p>
      <w:pPr>
        <w:spacing w:before="400"/>
      </w:pPr>
    </w:p>
    <w:p>
      <w:pPr>
        <w:pBdr>
          <w:top w:val="single" w:color="1B3A5C" w:sz="4" w:space="8"/>
        </w:pBdr>
        <w:spacing w:before="200"/>
      </w:pPr>
      <w:r>
        <w:rPr>
          <w:rFonts w:ascii="Arial" w:cs="Arial" w:eastAsia="Arial" w:hAnsi="Arial"/>
          <w:i/>
          <w:iCs/>
          <w:color w:val="666666"/>
          <w:sz w:val="22"/>
          <w:szCs w:val="22"/>
        </w:rPr>
        <w:t xml:space="preserve">End of Document</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2" w:space="4"/>
      </w:pBdr>
      <w:jc w:val="center"/>
    </w:pPr>
    <w:r>
      <w:rPr>
        <w:rFonts w:ascii="Arial" w:cs="Arial" w:eastAsia="Arial" w:hAnsi="Arial"/>
        <w:color w:val="666666"/>
        <w:sz w:val="16"/>
        <w:szCs w:val="16"/>
      </w:rPr>
      <w:t xml:space="preserve">Basil C. Puglisi, MPA | BasilPuglisi.com | </w:t>
    </w:r>
    <w:r>
      <w:rPr>
        <w:rFonts w:ascii="Arial" w:cs="Arial" w:eastAsia="Arial" w:hAnsi="Arial"/>
        <w:color w:val="666666"/>
        <w:sz w:val="16"/>
        <w:szCs w:val="16"/>
      </w:rPr>
      <w:t xml:space="preserve">Page </w:t>
    </w:r>
    <w:r>
      <w:rPr>
        <w:rFonts w:ascii="Arial" w:cs="Arial" w:eastAsia="Arial" w:hAnsi="Arial"/>
        <w:color w:val="666666"/>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B3A5C" w:sz="4" w:space="4"/>
      </w:pBdr>
      <w:jc w:val="right"/>
    </w:pPr>
    <w:r>
      <w:rPr>
        <w:rFonts w:ascii="Arial" w:cs="Arial" w:eastAsia="Arial" w:hAnsi="Arial"/>
        <w:i/>
        <w:iCs/>
        <w:color w:val="666666"/>
        <w:sz w:val="18"/>
        <w:szCs w:val="18"/>
      </w:rPr>
      <w:t xml:space="preserve">HAIA-RECCLIN Integration Gap Evidence Record</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B3A5C"/>
      <w:sz w:val="28"/>
      <w:szCs w:val="28"/>
    </w:rPr>
  </w:style>
  <w:style w:type="paragraph" w:styleId="Heading2">
    <w:name w:val="Heading 2"/>
    <w:basedOn w:val="Normal"/>
    <w:next w:val="Normal"/>
    <w:qFormat/>
    <w:pPr>
      <w:spacing w:before="280" w:after="160"/>
      <w:outlineLvl w:val="1"/>
    </w:pPr>
    <w:rPr>
      <w:rFonts w:ascii="Arial" w:cs="Arial" w:eastAsia="Arial" w:hAnsi="Arial"/>
      <w:b/>
      <w:bCs/>
      <w:color w:val="2E598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2026-02-18T01:19:38.567Z</dcterms:created>
  <dcterms:modified xsi:type="dcterms:W3CDTF">2026-02-18T01:19:38.568Z</dcterms:modified>
</cp:coreProperties>
</file>

<file path=docProps/custom.xml><?xml version="1.0" encoding="utf-8"?>
<Properties xmlns="http://schemas.openxmlformats.org/officeDocument/2006/custom-properties" xmlns:vt="http://schemas.openxmlformats.org/officeDocument/2006/docPropsVTypes"/>
</file>