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POLICY DOCUMENT</w:t>
      </w:r>
    </w:p>
    <w:p>
      <w:pPr>
        <w:spacing w:after="100"/>
        <w:jc w:val="center"/>
      </w:pPr>
      <w:r>
        <w:rPr>
          <w:rFonts w:ascii="Times New Roman" w:cs="Times New Roman" w:eastAsia="Times New Roman" w:hAnsi="Times New Roman"/>
          <w:b/>
          <w:bCs/>
          <w:sz w:val="40"/>
          <w:szCs w:val="40"/>
        </w:rPr>
        <w:t xml:space="preserve">AI GOVERNANCE: FORMAL DEFINITION</w:t>
      </w:r>
    </w:p>
    <w:p>
      <w:pPr>
        <w:spacing w:after="100"/>
        <w:jc w:val="center"/>
      </w:pPr>
      <w:r>
        <w:rPr>
          <w:rFonts w:ascii="Times New Roman" w:cs="Times New Roman" w:eastAsia="Times New Roman" w:hAnsi="Times New Roman"/>
          <w:i/>
          <w:iCs/>
          <w:sz w:val="28"/>
          <w:szCs w:val="28"/>
        </w:rPr>
        <w:t xml:space="preserve">Priority Claim and Definitional Record</w:t>
      </w:r>
    </w:p>
    <w:p>
      <w:pPr>
        <w:pBdr>
          <w:bottom w:val="single" w:color="000000" w:sz="6"/>
        </w:pBdr>
        <w:spacing w:before="200" w:after="200"/>
      </w:pPr>
    </w:p>
    <w:p>
      <w:pPr>
        <w:spacing w:after="50"/>
      </w:pPr>
      <w:r>
        <w:rPr>
          <w:rFonts w:ascii="Times New Roman" w:cs="Times New Roman" w:eastAsia="Times New Roman" w:hAnsi="Times New Roman"/>
          <w:b/>
          <w:bCs/>
          <w:sz w:val="24"/>
          <w:szCs w:val="24"/>
        </w:rPr>
        <w:t xml:space="preserve">Author: </w:t>
      </w:r>
      <w:r>
        <w:rPr>
          <w:rFonts w:ascii="Times New Roman" w:cs="Times New Roman" w:eastAsia="Times New Roman" w:hAnsi="Times New Roman"/>
          <w:sz w:val="24"/>
          <w:szCs w:val="24"/>
        </w:rPr>
        <w:t xml:space="preserve">Basil C. Puglisi, MPA</w:t>
      </w:r>
    </w:p>
    <w:p>
      <w:pPr>
        <w:spacing w:after="50"/>
      </w:pPr>
      <w:r>
        <w:rPr>
          <w:rFonts w:ascii="Times New Roman" w:cs="Times New Roman" w:eastAsia="Times New Roman" w:hAnsi="Times New Roman"/>
          <w:b/>
          <w:bCs/>
          <w:sz w:val="24"/>
          <w:szCs w:val="24"/>
        </w:rPr>
        <w:t xml:space="preserve">Title: </w:t>
      </w:r>
      <w:r>
        <w:rPr>
          <w:rFonts w:ascii="Times New Roman" w:cs="Times New Roman" w:eastAsia="Times New Roman" w:hAnsi="Times New Roman"/>
          <w:sz w:val="24"/>
          <w:szCs w:val="24"/>
        </w:rPr>
        <w:t xml:space="preserve">Human-AI Collaboration Strategist and AI Governance Consultant</w:t>
      </w:r>
    </w:p>
    <w:p>
      <w:pPr>
        <w:spacing w:after="50"/>
      </w:pPr>
      <w:r>
        <w:rPr>
          <w:rFonts w:ascii="Times New Roman" w:cs="Times New Roman" w:eastAsia="Times New Roman" w:hAnsi="Times New Roman"/>
          <w:b/>
          <w:bCs/>
          <w:sz w:val="24"/>
          <w:szCs w:val="24"/>
        </w:rPr>
        <w:t xml:space="preserve">Date of Record: </w:t>
      </w:r>
      <w:r>
        <w:rPr>
          <w:rFonts w:ascii="Times New Roman" w:cs="Times New Roman" w:eastAsia="Times New Roman" w:hAnsi="Times New Roman"/>
          <w:sz w:val="24"/>
          <w:szCs w:val="24"/>
        </w:rPr>
        <w:t xml:space="preserve">March 15, 2026</w:t>
      </w:r>
    </w:p>
    <w:p>
      <w:pPr>
        <w:spacing w:after="50"/>
      </w:pPr>
      <w:r>
        <w:rPr>
          <w:rFonts w:ascii="Times New Roman" w:cs="Times New Roman" w:eastAsia="Times New Roman" w:hAnsi="Times New Roman"/>
          <w:b/>
          <w:bCs/>
          <w:sz w:val="24"/>
          <w:szCs w:val="24"/>
        </w:rPr>
        <w:t xml:space="preserve">Version: </w:t>
      </w:r>
      <w:r>
        <w:rPr>
          <w:rFonts w:ascii="Times New Roman" w:cs="Times New Roman" w:eastAsia="Times New Roman" w:hAnsi="Times New Roman"/>
          <w:sz w:val="24"/>
          <w:szCs w:val="24"/>
        </w:rPr>
        <w:t xml:space="preserve">1.0</w:t>
      </w:r>
    </w:p>
    <w:p>
      <w:pPr>
        <w:spacing w:after="50"/>
      </w:pPr>
      <w:r>
        <w:rPr>
          <w:rFonts w:ascii="Times New Roman" w:cs="Times New Roman" w:eastAsia="Times New Roman" w:hAnsi="Times New Roman"/>
          <w:b/>
          <w:bCs/>
          <w:sz w:val="24"/>
          <w:szCs w:val="24"/>
        </w:rPr>
        <w:t xml:space="preserve">Framework: </w:t>
      </w:r>
      <w:r>
        <w:rPr>
          <w:rFonts w:ascii="Times New Roman" w:cs="Times New Roman" w:eastAsia="Times New Roman" w:hAnsi="Times New Roman"/>
          <w:sz w:val="24"/>
          <w:szCs w:val="24"/>
        </w:rPr>
        <w:t xml:space="preserve">HAIA-RECCLIN / Checkpoint-Based Governance (CBG)</w:t>
      </w:r>
    </w:p>
    <w:p>
      <w:pPr>
        <w:spacing w:after="50"/>
      </w:pPr>
      <w:r>
        <w:rPr>
          <w:rFonts w:ascii="Times New Roman" w:cs="Times New Roman" w:eastAsia="Times New Roman" w:hAnsi="Times New Roman"/>
          <w:b/>
          <w:bCs/>
          <w:sz w:val="24"/>
          <w:szCs w:val="24"/>
        </w:rPr>
        <w:t xml:space="preserve">Classification: </w:t>
      </w:r>
      <w:r>
        <w:rPr>
          <w:rFonts w:ascii="Times New Roman" w:cs="Times New Roman" w:eastAsia="Times New Roman" w:hAnsi="Times New Roman"/>
          <w:sz w:val="24"/>
          <w:szCs w:val="24"/>
        </w:rPr>
        <w:t xml:space="preserve">Public Policy Record</w:t>
      </w:r>
    </w:p>
    <w:p>
      <w:pPr>
        <w:spacing w:after="50"/>
      </w:pPr>
      <w:r>
        <w:rPr>
          <w:rFonts w:ascii="Times New Roman" w:cs="Times New Roman" w:eastAsia="Times New Roman" w:hAnsi="Times New Roman"/>
          <w:b/>
          <w:bCs/>
          <w:sz w:val="24"/>
          <w:szCs w:val="24"/>
        </w:rPr>
        <w:t xml:space="preserve">License: </w:t>
      </w:r>
      <w:r>
        <w:rPr>
          <w:rFonts w:ascii="Times New Roman" w:cs="Times New Roman" w:eastAsia="Times New Roman" w:hAnsi="Times New Roman"/>
          <w:sz w:val="24"/>
          <w:szCs w:val="24"/>
        </w:rPr>
        <w:t xml:space="preserve">Creative Commons Attribution 4.0 International (CC BY 4.0)</w:t>
      </w:r>
    </w:p>
    <w:p>
      <w:pPr>
        <w:spacing w:after="50"/>
      </w:pPr>
      <w:r>
        <w:rPr>
          <w:rFonts w:ascii="Times New Roman" w:cs="Times New Roman" w:eastAsia="Times New Roman" w:hAnsi="Times New Roman"/>
          <w:b/>
          <w:bCs/>
          <w:sz w:val="24"/>
          <w:szCs w:val="24"/>
        </w:rPr>
        <w:t xml:space="preserve">Repository: </w:t>
      </w:r>
      <w:r>
        <w:rPr>
          <w:rFonts w:ascii="Times New Roman" w:cs="Times New Roman" w:eastAsia="Times New Roman" w:hAnsi="Times New Roman"/>
          <w:sz w:val="24"/>
          <w:szCs w:val="24"/>
        </w:rPr>
        <w:t xml:space="preserve">github.com/basilpuglisi/HAIA</w:t>
      </w:r>
    </w:p>
    <w:p>
      <w:pPr>
        <w:spacing w:after="50"/>
      </w:pPr>
      <w:r>
        <w:rPr>
          <w:rFonts w:ascii="Times New Roman" w:cs="Times New Roman" w:eastAsia="Times New Roman" w:hAnsi="Times New Roman"/>
          <w:i/>
          <w:iCs/>
          <w:sz w:val="24"/>
          <w:szCs w:val="24"/>
        </w:rPr>
        <w:t xml:space="preserve">#AIassisted</w:t>
      </w:r>
    </w:p>
    <w:p>
      <w:pPr>
        <w:pBdr>
          <w:bottom w:val="single" w:color="000000" w:sz="6"/>
        </w:pBdr>
        <w:spacing w:before="200" w:after="200"/>
      </w:pPr>
    </w:p>
    <w:p>
      <w:pPr>
        <w:pStyle w:val="Heading1"/>
        <w:spacing w:before="300" w:after="150"/>
      </w:pPr>
      <w:r>
        <w:rPr>
          <w:rFonts w:ascii="Times New Roman" w:cs="Times New Roman" w:eastAsia="Times New Roman" w:hAnsi="Times New Roman"/>
          <w:b/>
          <w:bCs/>
          <w:sz w:val="36"/>
          <w:szCs w:val="36"/>
        </w:rPr>
        <w:t xml:space="preserve">1. Purpose of This Document</w:t>
      </w:r>
    </w:p>
    <w:p>
      <w:pPr>
        <w:spacing w:after="200" w:line="276"/>
        <w:jc w:val="left"/>
      </w:pPr>
      <w:r>
        <w:rPr>
          <w:rFonts w:ascii="Times New Roman" w:cs="Times New Roman" w:eastAsia="Times New Roman" w:hAnsi="Times New Roman"/>
          <w:b w:val="false"/>
          <w:bCs w:val="false"/>
          <w:i w:val="false"/>
          <w:iCs w:val="false"/>
          <w:sz w:val="24"/>
          <w:szCs w:val="24"/>
        </w:rPr>
        <w:t xml:space="preserve">This document establishes the public record for the first proposed formal definition of AI Governance as a standalone operational term. No standards body, regulatory authority, or academic consensus document has published a formal, standalone definition of AI Governance despite the term appearing in international treaties, executive orders, and standards frameworks across more than 40 countries. This document records the proposed definition, the institutional sources from which it derives, the academic evidence confirming the definitional gap, the multi-AI validation process that verified the gap, and the date of first public record.</w:t>
      </w:r>
    </w:p>
    <w:p>
      <w:pPr>
        <w:pStyle w:val="Heading1"/>
        <w:spacing w:before="300" w:after="150"/>
      </w:pPr>
      <w:r>
        <w:rPr>
          <w:rFonts w:ascii="Times New Roman" w:cs="Times New Roman" w:eastAsia="Times New Roman" w:hAnsi="Times New Roman"/>
          <w:b/>
          <w:bCs/>
          <w:sz w:val="36"/>
          <w:szCs w:val="36"/>
        </w:rPr>
        <w:t xml:space="preserve">2. The Documented Definitional Gap</w:t>
      </w:r>
    </w:p>
    <w:p>
      <w:pPr>
        <w:spacing w:after="200" w:line="276"/>
        <w:jc w:val="left"/>
      </w:pPr>
      <w:r>
        <w:rPr>
          <w:rFonts w:ascii="Times New Roman" w:cs="Times New Roman" w:eastAsia="Times New Roman" w:hAnsi="Times New Roman"/>
          <w:b w:val="false"/>
          <w:bCs w:val="false"/>
          <w:i w:val="false"/>
          <w:iCs w:val="false"/>
          <w:sz w:val="24"/>
          <w:szCs w:val="24"/>
        </w:rPr>
        <w:t xml:space="preserve">Five institutional frameworks address AI governance. None publishes a formal definition of the term.</w:t>
      </w:r>
    </w:p>
    <w:p>
      <w:pPr>
        <w:spacing w:after="200" w:line="276"/>
      </w:pPr>
      <w:r>
        <w:rPr>
          <w:rFonts w:ascii="Times New Roman" w:cs="Times New Roman" w:eastAsia="Times New Roman" w:hAnsi="Times New Roman"/>
          <w:b/>
          <w:bCs/>
          <w:sz w:val="24"/>
          <w:szCs w:val="24"/>
        </w:rPr>
        <w:t xml:space="preserve">ISO 37000:2021 </w:t>
      </w:r>
      <w:r>
        <w:rPr>
          <w:rFonts w:ascii="Times New Roman" w:cs="Times New Roman" w:eastAsia="Times New Roman" w:hAnsi="Times New Roman"/>
          <w:sz w:val="24"/>
          <w:szCs w:val="24"/>
        </w:rPr>
        <w:t xml:space="preserve">defines organizational governance broadly as the foundation for fulfilling purpose in an effective, responsible, and ethical manner. It establishes accountability structures and decision-making authority but does not define AI governance specifically.</w:t>
      </w:r>
    </w:p>
    <w:p>
      <w:pPr>
        <w:spacing w:after="200" w:line="276"/>
      </w:pPr>
      <w:r>
        <w:rPr>
          <w:rFonts w:ascii="Times New Roman" w:cs="Times New Roman" w:eastAsia="Times New Roman" w:hAnsi="Times New Roman"/>
          <w:b/>
          <w:bCs/>
          <w:sz w:val="24"/>
          <w:szCs w:val="24"/>
        </w:rPr>
        <w:t xml:space="preserve">ISO/IEC 38507:2022 </w:t>
      </w:r>
      <w:r>
        <w:rPr>
          <w:rFonts w:ascii="Times New Roman" w:cs="Times New Roman" w:eastAsia="Times New Roman" w:hAnsi="Times New Roman"/>
          <w:sz w:val="24"/>
          <w:szCs w:val="24"/>
        </w:rPr>
        <w:t xml:space="preserve">addresses the governance implications of AI use by organizations, covering accountability, decision-making, data governance, and risk. It describes governance implications. It does not define AI governance as a term.</w:t>
      </w:r>
    </w:p>
    <w:p>
      <w:pPr>
        <w:spacing w:after="200" w:line="276"/>
      </w:pPr>
      <w:r>
        <w:rPr>
          <w:rFonts w:ascii="Times New Roman" w:cs="Times New Roman" w:eastAsia="Times New Roman" w:hAnsi="Times New Roman"/>
          <w:b/>
          <w:bCs/>
          <w:sz w:val="24"/>
          <w:szCs w:val="24"/>
        </w:rPr>
        <w:t xml:space="preserve">ISO/IEC 42001:2023 </w:t>
      </w:r>
      <w:r>
        <w:rPr>
          <w:rFonts w:ascii="Times New Roman" w:cs="Times New Roman" w:eastAsia="Times New Roman" w:hAnsi="Times New Roman"/>
          <w:sz w:val="24"/>
          <w:szCs w:val="24"/>
        </w:rPr>
        <w:t xml:space="preserve">provides an AI management system standard. Within ISO's own architecture, this is a management standard, not a governance standard. The conflation of management (42001) with governance (37000) is itself evidence of the definitional problem.</w:t>
      </w:r>
    </w:p>
    <w:p>
      <w:pPr>
        <w:spacing w:after="200" w:line="276"/>
      </w:pPr>
      <w:r>
        <w:rPr>
          <w:rFonts w:ascii="Times New Roman" w:cs="Times New Roman" w:eastAsia="Times New Roman" w:hAnsi="Times New Roman"/>
          <w:b/>
          <w:bCs/>
          <w:sz w:val="24"/>
          <w:szCs w:val="24"/>
        </w:rPr>
        <w:t xml:space="preserve">NIST AI RMF 1.0 (2023) </w:t>
      </w:r>
      <w:r>
        <w:rPr>
          <w:rFonts w:ascii="Times New Roman" w:cs="Times New Roman" w:eastAsia="Times New Roman" w:hAnsi="Times New Roman"/>
          <w:sz w:val="24"/>
          <w:szCs w:val="24"/>
        </w:rPr>
        <w:t xml:space="preserve">uses four functions: GOVERN, MAP, MEASURE, and MANAGE. GOVERN operates as a cross-cutting function setting organizational culture and risk posture. NIST defines a governance function within risk management. It does not define AI governance as a standalone concept.</w:t>
      </w:r>
    </w:p>
    <w:p>
      <w:pPr>
        <w:spacing w:after="200" w:line="276"/>
      </w:pPr>
      <w:r>
        <w:rPr>
          <w:rFonts w:ascii="Times New Roman" w:cs="Times New Roman" w:eastAsia="Times New Roman" w:hAnsi="Times New Roman"/>
          <w:b/>
          <w:bCs/>
          <w:sz w:val="24"/>
          <w:szCs w:val="24"/>
        </w:rPr>
        <w:t xml:space="preserve">OECD AI Principles (2019, updated 2024) </w:t>
      </w:r>
      <w:r>
        <w:rPr>
          <w:rFonts w:ascii="Times New Roman" w:cs="Times New Roman" w:eastAsia="Times New Roman" w:hAnsi="Times New Roman"/>
          <w:sz w:val="24"/>
          <w:szCs w:val="24"/>
        </w:rPr>
        <w:t xml:space="preserve">represent the closest approximation to a definitional layer. Adopted by more than 40 countries and referenced in the EU AI Act's definition of AI systems, the OECD provides principles for trustworthy AI. It does not provide a formal definition of AI governance.</w:t>
      </w:r>
    </w:p>
    <w:p>
      <w:pPr>
        <w:spacing w:after="200" w:line="276"/>
      </w:pPr>
      <w:r>
        <w:rPr>
          <w:rFonts w:ascii="Times New Roman" w:cs="Times New Roman" w:eastAsia="Times New Roman" w:hAnsi="Times New Roman"/>
          <w:b/>
          <w:bCs/>
          <w:sz w:val="24"/>
          <w:szCs w:val="24"/>
        </w:rPr>
        <w:t xml:space="preserve">EU AI Act (Regulation 2024/1689) </w:t>
      </w:r>
      <w:r>
        <w:rPr>
          <w:rFonts w:ascii="Times New Roman" w:cs="Times New Roman" w:eastAsia="Times New Roman" w:hAnsi="Times New Roman"/>
          <w:sz w:val="24"/>
          <w:szCs w:val="24"/>
        </w:rPr>
        <w:t xml:space="preserve">creates binding obligations. Article 14 mandates human oversight by natural persons for high-risk AI systems. The Act defines risk categories and compliance requirements. It does not define AI governance as a concept.</w:t>
      </w:r>
    </w:p>
    <w:p>
      <w:pPr>
        <w:spacing w:after="200" w:line="276"/>
      </w:pPr>
      <w:r>
        <w:rPr>
          <w:rFonts w:ascii="Times New Roman" w:cs="Times New Roman" w:eastAsia="Times New Roman" w:hAnsi="Times New Roman"/>
          <w:b/>
          <w:bCs/>
          <w:sz w:val="24"/>
          <w:szCs w:val="24"/>
        </w:rPr>
        <w:t xml:space="preserve">UNESCO Recommendation on the Ethics of AI (2021) </w:t>
      </w:r>
      <w:r>
        <w:rPr>
          <w:rFonts w:ascii="Times New Roman" w:cs="Times New Roman" w:eastAsia="Times New Roman" w:hAnsi="Times New Roman"/>
          <w:sz w:val="24"/>
          <w:szCs w:val="24"/>
        </w:rPr>
        <w:t xml:space="preserve">provides an ethical framework endorsed by 193 member states. It addresses human rights, dignity, inclusion, fairness, and environmental sustainability. It does not define AI governance.</w:t>
      </w:r>
    </w:p>
    <w:p>
      <w:pPr>
        <w:spacing w:after="200" w:line="276"/>
      </w:pPr>
      <w:r>
        <w:rPr>
          <w:rFonts w:ascii="Times New Roman" w:cs="Times New Roman" w:eastAsia="Times New Roman" w:hAnsi="Times New Roman"/>
          <w:b/>
          <w:bCs/>
          <w:sz w:val="24"/>
          <w:szCs w:val="24"/>
        </w:rPr>
        <w:t xml:space="preserve">Council of Europe Framework Convention on AI (2024) </w:t>
      </w:r>
      <w:r>
        <w:rPr>
          <w:rFonts w:ascii="Times New Roman" w:cs="Times New Roman" w:eastAsia="Times New Roman" w:hAnsi="Times New Roman"/>
          <w:sz w:val="24"/>
          <w:szCs w:val="24"/>
        </w:rPr>
        <w:t xml:space="preserve">is the first binding international treaty addressing AI governance. Signed by 19 parties as of January 2026. It establishes governance principles but does not define AI governance as a term.</w:t>
      </w:r>
    </w:p>
    <w:p>
      <w:pPr>
        <w:pStyle w:val="Heading1"/>
        <w:spacing w:before="300" w:after="150"/>
      </w:pPr>
      <w:r>
        <w:rPr>
          <w:rFonts w:ascii="Times New Roman" w:cs="Times New Roman" w:eastAsia="Times New Roman" w:hAnsi="Times New Roman"/>
          <w:b/>
          <w:bCs/>
          <w:sz w:val="36"/>
          <w:szCs w:val="36"/>
        </w:rPr>
        <w:t xml:space="preserve">3. Academic Evidence Confirming the Gap</w:t>
      </w:r>
    </w:p>
    <w:p>
      <w:pPr>
        <w:spacing w:after="200" w:line="276"/>
        <w:jc w:val="left"/>
      </w:pPr>
      <w:r>
        <w:rPr>
          <w:rFonts w:ascii="Times New Roman" w:cs="Times New Roman" w:eastAsia="Times New Roman" w:hAnsi="Times New Roman"/>
          <w:b w:val="false"/>
          <w:bCs w:val="false"/>
          <w:i w:val="false"/>
          <w:iCs w:val="false"/>
          <w:sz w:val="24"/>
          <w:szCs w:val="24"/>
        </w:rPr>
        <w:t xml:space="preserve">Six peer-reviewed studies across four journals confirmed the definitional gap from different angles.</w:t>
      </w:r>
    </w:p>
    <w:p>
      <w:pPr>
        <w:spacing w:after="200" w:line="276"/>
      </w:pPr>
      <w:r>
        <w:rPr>
          <w:rFonts w:ascii="Times New Roman" w:cs="Times New Roman" w:eastAsia="Times New Roman" w:hAnsi="Times New Roman"/>
          <w:b/>
          <w:bCs/>
          <w:sz w:val="24"/>
          <w:szCs w:val="24"/>
        </w:rPr>
        <w:t xml:space="preserve">Jobin, Ienca, and Vayena (2019). </w:t>
      </w:r>
      <w:r>
        <w:rPr>
          <w:rFonts w:ascii="Times New Roman" w:cs="Times New Roman" w:eastAsia="Times New Roman" w:hAnsi="Times New Roman"/>
          <w:sz w:val="24"/>
          <w:szCs w:val="24"/>
        </w:rPr>
        <w:t xml:space="preserve">"The global landscape of AI ethics guidelines." Nature Machine Intelligence, 1, 389-399. Mapped 84 sets of AI ethics guidelines worldwide. Found convergence on five principles (transparency, justice, non-maleficence, responsibility, privacy) with 88 percent published after 2016. Found significant divergence in interpretation and implementation. No formal governance definition emerged.</w:t>
      </w:r>
    </w:p>
    <w:p>
      <w:pPr>
        <w:spacing w:after="200" w:line="276"/>
      </w:pPr>
      <w:r>
        <w:rPr>
          <w:rFonts w:ascii="Times New Roman" w:cs="Times New Roman" w:eastAsia="Times New Roman" w:hAnsi="Times New Roman"/>
          <w:b/>
          <w:bCs/>
          <w:sz w:val="24"/>
          <w:szCs w:val="24"/>
        </w:rPr>
        <w:t xml:space="preserve">Stix (2022). </w:t>
      </w:r>
      <w:r>
        <w:rPr>
          <w:rFonts w:ascii="Times New Roman" w:cs="Times New Roman" w:eastAsia="Times New Roman" w:hAnsi="Times New Roman"/>
          <w:sz w:val="24"/>
          <w:szCs w:val="24"/>
        </w:rPr>
        <w:t xml:space="preserve">"Artificial intelligence by any other name: A brief history of the conceptualization of 'trustworthy artificial intelligence.'" Discover Artificial Intelligence, 2(26). Traced the terminological history and found that different groups coined different terms with varying objectives. No unified definition produced.</w:t>
      </w:r>
    </w:p>
    <w:p>
      <w:pPr>
        <w:spacing w:after="200" w:line="276"/>
      </w:pPr>
      <w:r>
        <w:rPr>
          <w:rFonts w:ascii="Times New Roman" w:cs="Times New Roman" w:eastAsia="Times New Roman" w:hAnsi="Times New Roman"/>
          <w:b/>
          <w:bCs/>
          <w:sz w:val="24"/>
          <w:szCs w:val="24"/>
        </w:rPr>
        <w:t xml:space="preserve">Maas (2025). </w:t>
      </w:r>
      <w:r>
        <w:rPr>
          <w:rFonts w:ascii="Times New Roman" w:cs="Times New Roman" w:eastAsia="Times New Roman" w:hAnsi="Times New Roman"/>
          <w:sz w:val="24"/>
          <w:szCs w:val="24"/>
        </w:rPr>
        <w:t xml:space="preserve">Architectures of Global AI Governance: From Technological Change to Human Choice. Oxford Academic. Documented that international AI governance debates gained sustained momentum in 2016 without producing definitional consensus.</w:t>
      </w:r>
    </w:p>
    <w:p>
      <w:pPr>
        <w:spacing w:after="200" w:line="276"/>
      </w:pPr>
      <w:r>
        <w:rPr>
          <w:rFonts w:ascii="Times New Roman" w:cs="Times New Roman" w:eastAsia="Times New Roman" w:hAnsi="Times New Roman"/>
          <w:b/>
          <w:bCs/>
          <w:sz w:val="24"/>
          <w:szCs w:val="24"/>
        </w:rPr>
        <w:t xml:space="preserve">Batool, Zowghi, and Bano (2025). </w:t>
      </w:r>
      <w:r>
        <w:rPr>
          <w:rFonts w:ascii="Times New Roman" w:cs="Times New Roman" w:eastAsia="Times New Roman" w:hAnsi="Times New Roman"/>
          <w:sz w:val="24"/>
          <w:szCs w:val="24"/>
        </w:rPr>
        <w:t xml:space="preserve">"AI governance: a systematic literature review." AI and Ethics, 5, 3265-3279. Found governance solutions fragmented across five levels (team, organization, industry, national, international) with limited interoperability.</w:t>
      </w:r>
    </w:p>
    <w:p>
      <w:pPr>
        <w:spacing w:after="200" w:line="276"/>
      </w:pPr>
      <w:r>
        <w:rPr>
          <w:rFonts w:ascii="Times New Roman" w:cs="Times New Roman" w:eastAsia="Times New Roman" w:hAnsi="Times New Roman"/>
          <w:b/>
          <w:bCs/>
          <w:sz w:val="24"/>
          <w:szCs w:val="24"/>
        </w:rPr>
        <w:t xml:space="preserve">Floridi and Cowan (2025). </w:t>
      </w:r>
      <w:r>
        <w:rPr>
          <w:rFonts w:ascii="Times New Roman" w:cs="Times New Roman" w:eastAsia="Times New Roman" w:hAnsi="Times New Roman"/>
          <w:sz w:val="24"/>
          <w:szCs w:val="24"/>
        </w:rPr>
        <w:t xml:space="preserve">"Operationalizing accountability in AI governance: From principles to procedures." AI and Ethics, 5(2). Documented the persistent failure to move from principles to enforceable procedures.</w:t>
      </w:r>
    </w:p>
    <w:p>
      <w:pPr>
        <w:spacing w:after="200" w:line="276"/>
      </w:pPr>
      <w:r>
        <w:rPr>
          <w:rFonts w:ascii="Times New Roman" w:cs="Times New Roman" w:eastAsia="Times New Roman" w:hAnsi="Times New Roman"/>
          <w:b/>
          <w:bCs/>
          <w:sz w:val="24"/>
          <w:szCs w:val="24"/>
        </w:rPr>
        <w:t xml:space="preserve">Goffi (2022). </w:t>
      </w:r>
      <w:r>
        <w:rPr>
          <w:rFonts w:ascii="Times New Roman" w:cs="Times New Roman" w:eastAsia="Times New Roman" w:hAnsi="Times New Roman"/>
          <w:sz w:val="24"/>
          <w:szCs w:val="24"/>
        </w:rPr>
        <w:t xml:space="preserve">"Respecting cultural diversity in ethics applied to AI: A new approach for multicultural governance." Revista Mision Juridica. Argued that dominant AI governance narratives embed Western-centric universalism without engagement with diverse philosophical traditions.</w:t>
      </w:r>
    </w:p>
    <w:p>
      <w:pPr>
        <w:pStyle w:val="Heading1"/>
        <w:spacing w:before="300" w:after="150"/>
      </w:pPr>
      <w:r>
        <w:rPr>
          <w:rFonts w:ascii="Times New Roman" w:cs="Times New Roman" w:eastAsia="Times New Roman" w:hAnsi="Times New Roman"/>
          <w:b/>
          <w:bCs/>
          <w:sz w:val="36"/>
          <w:szCs w:val="36"/>
        </w:rPr>
        <w:t xml:space="preserve">4. Multi-AI Platform Validation</w:t>
      </w:r>
    </w:p>
    <w:p>
      <w:pPr>
        <w:spacing w:after="200" w:line="276"/>
        <w:jc w:val="left"/>
      </w:pPr>
      <w:r>
        <w:rPr>
          <w:rFonts w:ascii="Times New Roman" w:cs="Times New Roman" w:eastAsia="Times New Roman" w:hAnsi="Times New Roman"/>
          <w:b w:val="false"/>
          <w:bCs w:val="false"/>
          <w:i w:val="false"/>
          <w:iCs w:val="false"/>
          <w:sz w:val="24"/>
          <w:szCs w:val="24"/>
        </w:rPr>
        <w:t xml:space="preserve">The definitional gap was independently verified through the HAIA-RECCLIN governance methodology across eleven AI platforms: Claude, ChatGPT, Gemini, Grok, Perplexity, Mistral, DeepSeek, Meta AI, CoPilot, Kimi, and MiniMax.</w:t>
      </w:r>
    </w:p>
    <w:p>
      <w:pPr>
        <w:spacing w:after="200" w:line="276"/>
        <w:jc w:val="left"/>
      </w:pPr>
      <w:r>
        <w:rPr>
          <w:rFonts w:ascii="Times New Roman" w:cs="Times New Roman" w:eastAsia="Times New Roman" w:hAnsi="Times New Roman"/>
          <w:b w:val="false"/>
          <w:bCs w:val="false"/>
          <w:i w:val="false"/>
          <w:iCs w:val="false"/>
          <w:sz w:val="24"/>
          <w:szCs w:val="24"/>
        </w:rPr>
        <w:t xml:space="preserve">Every platform independently confirmed the same finding: no canonical definition of AI Governance exists in the global standards landscape.</w:t>
      </w:r>
    </w:p>
    <w:p>
      <w:pPr>
        <w:spacing w:after="200" w:line="276"/>
        <w:jc w:val="left"/>
      </w:pPr>
      <w:r>
        <w:rPr>
          <w:rFonts w:ascii="Times New Roman" w:cs="Times New Roman" w:eastAsia="Times New Roman" w:hAnsi="Times New Roman"/>
          <w:b w:val="false"/>
          <w:bCs w:val="false"/>
          <w:i w:val="false"/>
          <w:iCs w:val="false"/>
          <w:sz w:val="24"/>
          <w:szCs w:val="24"/>
        </w:rPr>
        <w:t xml:space="preserve">Three platforms (Claude, Perplexity, and Gemini) were then tasked with synthesizing the institutional sources into a composite definition. All three converged on the same structural conclusion: the raw material for a definition exists across ISO, NIST, OECD, the EU AI Act, and UNESCO. No body has assembled it into a single operational statement.</w:t>
      </w:r>
    </w:p>
    <w:p>
      <w:pPr>
        <w:spacing w:after="200" w:line="276"/>
        <w:jc w:val="left"/>
      </w:pPr>
      <w:r>
        <w:rPr>
          <w:rFonts w:ascii="Times New Roman" w:cs="Times New Roman" w:eastAsia="Times New Roman" w:hAnsi="Times New Roman"/>
          <w:b w:val="false"/>
          <w:bCs w:val="false"/>
          <w:i w:val="false"/>
          <w:iCs w:val="false"/>
          <w:sz w:val="24"/>
          <w:szCs w:val="24"/>
        </w:rPr>
        <w:t xml:space="preserve">This multi-AI validation was conducted on March 15, 2026, with human arbitration by Basil C. Puglisi serving as the governance arbiter under HAIA-RECCLIN Checkpoint-Based Governance protocol.</w:t>
      </w:r>
    </w:p>
    <w:p>
      <w:pPr>
        <w:pStyle w:val="Heading1"/>
        <w:spacing w:before="300" w:after="150"/>
      </w:pPr>
      <w:r>
        <w:rPr>
          <w:rFonts w:ascii="Times New Roman" w:cs="Times New Roman" w:eastAsia="Times New Roman" w:hAnsi="Times New Roman"/>
          <w:b/>
          <w:bCs/>
          <w:sz w:val="36"/>
          <w:szCs w:val="36"/>
        </w:rPr>
        <w:t xml:space="preserve">5. Proposed Definition of AI Governance</w:t>
      </w:r>
    </w:p>
    <w:p>
      <w:pPr>
        <w:pStyle w:val="Heading2"/>
        <w:spacing w:before="300" w:after="150"/>
      </w:pPr>
      <w:r>
        <w:rPr>
          <w:rFonts w:ascii="Times New Roman" w:cs="Times New Roman" w:eastAsia="Times New Roman" w:hAnsi="Times New Roman"/>
          <w:b/>
          <w:bCs/>
          <w:sz w:val="30"/>
          <w:szCs w:val="30"/>
        </w:rPr>
        <w:t xml:space="preserve">5.1 Full Scope Definition</w:t>
      </w:r>
    </w:p>
    <w:p>
      <w:pPr>
        <w:shd w:fill="F0F0F0" w:val="clear"/>
        <w:spacing w:after="200" w:line="276"/>
      </w:pPr>
      <w:r>
        <w:rPr>
          <w:rFonts w:ascii="Times New Roman" w:cs="Times New Roman" w:eastAsia="Times New Roman" w:hAnsi="Times New Roman"/>
          <w:b/>
          <w:bCs/>
          <w:sz w:val="26"/>
          <w:szCs w:val="26"/>
        </w:rPr>
        <w:t xml:space="preserve">AI Governance is the system of decision authority, accountability structures, and oversight mechanisms through which named humans hold binding power to approve, modify, or halt AI outputs at defined checkpoints, with accountability that survives audit through moral, employment, civil, and criminal channels.</w:t>
      </w:r>
    </w:p>
    <w:p>
      <w:pPr>
        <w:pStyle w:val="Heading2"/>
        <w:spacing w:before="300" w:after="150"/>
      </w:pPr>
      <w:r>
        <w:rPr>
          <w:rFonts w:ascii="Times New Roman" w:cs="Times New Roman" w:eastAsia="Times New Roman" w:hAnsi="Times New Roman"/>
          <w:b/>
          <w:bCs/>
          <w:sz w:val="30"/>
          <w:szCs w:val="30"/>
        </w:rPr>
        <w:t xml:space="preserve">5.2 Applied Definition</w:t>
      </w:r>
    </w:p>
    <w:p>
      <w:pPr>
        <w:shd w:fill="F0F0F0" w:val="clear"/>
        <w:spacing w:after="200" w:line="276"/>
      </w:pPr>
      <w:r>
        <w:rPr>
          <w:rFonts w:ascii="Times New Roman" w:cs="Times New Roman" w:eastAsia="Times New Roman" w:hAnsi="Times New Roman"/>
          <w:b/>
          <w:bCs/>
          <w:sz w:val="26"/>
          <w:szCs w:val="26"/>
        </w:rPr>
        <w:t xml:space="preserve">AI Governance exists when a qualified human holds binding authority at specific checkpoints, with personal accountability for the outputs that pass through.</w:t>
      </w:r>
    </w:p>
    <w:p>
      <w:pPr>
        <w:pStyle w:val="Heading1"/>
        <w:spacing w:before="300" w:after="150"/>
      </w:pPr>
      <w:r>
        <w:rPr>
          <w:rFonts w:ascii="Times New Roman" w:cs="Times New Roman" w:eastAsia="Times New Roman" w:hAnsi="Times New Roman"/>
          <w:b/>
          <w:bCs/>
          <w:sz w:val="36"/>
          <w:szCs w:val="36"/>
        </w:rPr>
        <w:t xml:space="preserve">6. Institutional Source Synthesis</w:t>
      </w:r>
    </w:p>
    <w:p>
      <w:pPr>
        <w:spacing w:after="200" w:line="276"/>
        <w:jc w:val="left"/>
      </w:pPr>
      <w:r>
        <w:rPr>
          <w:rFonts w:ascii="Times New Roman" w:cs="Times New Roman" w:eastAsia="Times New Roman" w:hAnsi="Times New Roman"/>
          <w:b w:val="false"/>
          <w:bCs w:val="false"/>
          <w:i w:val="false"/>
          <w:iCs w:val="false"/>
          <w:sz w:val="24"/>
          <w:szCs w:val="24"/>
        </w:rPr>
        <w:t xml:space="preserve">The proposed definition draws from and extends the following institutional sources:</w:t>
      </w:r>
    </w:p>
    <w:p>
      <w:pPr>
        <w:spacing w:after="200" w:line="276"/>
      </w:pPr>
      <w:r>
        <w:rPr>
          <w:rFonts w:ascii="Times New Roman" w:cs="Times New Roman" w:eastAsia="Times New Roman" w:hAnsi="Times New Roman"/>
          <w:b/>
          <w:bCs/>
          <w:sz w:val="24"/>
          <w:szCs w:val="24"/>
        </w:rPr>
        <w:t xml:space="preserve">From ISO 37000: </w:t>
      </w:r>
      <w:r>
        <w:rPr>
          <w:rFonts w:ascii="Times New Roman" w:cs="Times New Roman" w:eastAsia="Times New Roman" w:hAnsi="Times New Roman"/>
          <w:sz w:val="24"/>
          <w:szCs w:val="24"/>
        </w:rPr>
        <w:t xml:space="preserve">governance as accountability structures and decision-making authority within organizations.</w:t>
      </w:r>
    </w:p>
    <w:p>
      <w:pPr>
        <w:spacing w:after="200" w:line="276"/>
      </w:pPr>
      <w:r>
        <w:rPr>
          <w:rFonts w:ascii="Times New Roman" w:cs="Times New Roman" w:eastAsia="Times New Roman" w:hAnsi="Times New Roman"/>
          <w:b/>
          <w:bCs/>
          <w:sz w:val="24"/>
          <w:szCs w:val="24"/>
        </w:rPr>
        <w:t xml:space="preserve">From the OECD: </w:t>
      </w:r>
      <w:r>
        <w:rPr>
          <w:rFonts w:ascii="Times New Roman" w:cs="Times New Roman" w:eastAsia="Times New Roman" w:hAnsi="Times New Roman"/>
          <w:sz w:val="24"/>
          <w:szCs w:val="24"/>
        </w:rPr>
        <w:t xml:space="preserve">alignment with human rights, democratic values, and the principle that humans remain ultimately responsible.</w:t>
      </w:r>
    </w:p>
    <w:p>
      <w:pPr>
        <w:spacing w:after="200" w:line="276"/>
      </w:pPr>
      <w:r>
        <w:rPr>
          <w:rFonts w:ascii="Times New Roman" w:cs="Times New Roman" w:eastAsia="Times New Roman" w:hAnsi="Times New Roman"/>
          <w:b/>
          <w:bCs/>
          <w:sz w:val="24"/>
          <w:szCs w:val="24"/>
        </w:rPr>
        <w:t xml:space="preserve">From NIST: </w:t>
      </w:r>
      <w:r>
        <w:rPr>
          <w:rFonts w:ascii="Times New Roman" w:cs="Times New Roman" w:eastAsia="Times New Roman" w:hAnsi="Times New Roman"/>
          <w:sz w:val="24"/>
          <w:szCs w:val="24"/>
        </w:rPr>
        <w:t xml:space="preserve">the GOVERN function as the cross-cutting layer that sets organizational culture and risk posture.</w:t>
      </w:r>
    </w:p>
    <w:p>
      <w:pPr>
        <w:spacing w:after="200" w:line="276"/>
      </w:pPr>
      <w:r>
        <w:rPr>
          <w:rFonts w:ascii="Times New Roman" w:cs="Times New Roman" w:eastAsia="Times New Roman" w:hAnsi="Times New Roman"/>
          <w:b/>
          <w:bCs/>
          <w:sz w:val="24"/>
          <w:szCs w:val="24"/>
        </w:rPr>
        <w:t xml:space="preserve">From the EU AI Act Article 14: </w:t>
      </w:r>
      <w:r>
        <w:rPr>
          <w:rFonts w:ascii="Times New Roman" w:cs="Times New Roman" w:eastAsia="Times New Roman" w:hAnsi="Times New Roman"/>
          <w:sz w:val="24"/>
          <w:szCs w:val="24"/>
        </w:rPr>
        <w:t xml:space="preserve">the mandate that high-risk systems require effective human oversight by natural persons.</w:t>
      </w:r>
    </w:p>
    <w:p>
      <w:pPr>
        <w:spacing w:after="200" w:line="276"/>
        <w:jc w:val="left"/>
      </w:pPr>
      <w:r>
        <w:rPr>
          <w:rFonts w:ascii="Times New Roman" w:cs="Times New Roman" w:eastAsia="Times New Roman" w:hAnsi="Times New Roman"/>
          <w:b w:val="false"/>
          <w:bCs w:val="false"/>
          <w:i w:val="false"/>
          <w:iCs w:val="false"/>
          <w:sz w:val="24"/>
          <w:szCs w:val="24"/>
        </w:rPr>
        <w:t xml:space="preserve">What the proposed definition adds, and what no existing framework provides, is the operational threshold: governance requires individual human authority over individual outputs. Management systems, risk frameworks, policy principles, and regulatory compliance all serve governance. None of them constitute governance without a named human who can stop the process, review the output, and answer for the result.</w:t>
      </w:r>
    </w:p>
    <w:p>
      <w:pPr>
        <w:pStyle w:val="Heading1"/>
        <w:spacing w:before="300" w:after="150"/>
      </w:pPr>
      <w:r>
        <w:rPr>
          <w:rFonts w:ascii="Times New Roman" w:cs="Times New Roman" w:eastAsia="Times New Roman" w:hAnsi="Times New Roman"/>
          <w:b/>
          <w:bCs/>
          <w:sz w:val="36"/>
          <w:szCs w:val="36"/>
        </w:rPr>
        <w:t xml:space="preserve">7. Four Channels of AI Governance Accountability</w:t>
      </w:r>
    </w:p>
    <w:p>
      <w:pPr>
        <w:spacing w:after="200" w:line="276"/>
        <w:jc w:val="left"/>
      </w:pPr>
      <w:r>
        <w:rPr>
          <w:rFonts w:ascii="Times New Roman" w:cs="Times New Roman" w:eastAsia="Times New Roman" w:hAnsi="Times New Roman"/>
          <w:b w:val="false"/>
          <w:bCs w:val="false"/>
          <w:i w:val="false"/>
          <w:iCs w:val="false"/>
          <w:sz w:val="24"/>
          <w:szCs w:val="24"/>
        </w:rPr>
        <w:t xml:space="preserve">The proposed definition specifies four channels through which accountability must reach a named human:</w:t>
      </w:r>
    </w:p>
    <w:p>
      <w:pPr>
        <w:spacing w:after="200" w:line="276"/>
      </w:pPr>
      <w:r>
        <w:rPr>
          <w:rFonts w:ascii="Times New Roman" w:cs="Times New Roman" w:eastAsia="Times New Roman" w:hAnsi="Times New Roman"/>
          <w:b/>
          <w:bCs/>
          <w:sz w:val="24"/>
          <w:szCs w:val="24"/>
        </w:rPr>
        <w:t xml:space="preserve">Moral: </w:t>
      </w:r>
      <w:r>
        <w:rPr>
          <w:rFonts w:ascii="Times New Roman" w:cs="Times New Roman" w:eastAsia="Times New Roman" w:hAnsi="Times New Roman"/>
          <w:sz w:val="24"/>
          <w:szCs w:val="24"/>
        </w:rPr>
        <w:t xml:space="preserve">obligation to act with care.</w:t>
      </w:r>
    </w:p>
    <w:p>
      <w:pPr>
        <w:spacing w:after="200" w:line="276"/>
      </w:pPr>
      <w:r>
        <w:rPr>
          <w:rFonts w:ascii="Times New Roman" w:cs="Times New Roman" w:eastAsia="Times New Roman" w:hAnsi="Times New Roman"/>
          <w:b/>
          <w:bCs/>
          <w:sz w:val="24"/>
          <w:szCs w:val="24"/>
        </w:rPr>
        <w:t xml:space="preserve">Employment: </w:t>
      </w:r>
      <w:r>
        <w:rPr>
          <w:rFonts w:ascii="Times New Roman" w:cs="Times New Roman" w:eastAsia="Times New Roman" w:hAnsi="Times New Roman"/>
          <w:sz w:val="24"/>
          <w:szCs w:val="24"/>
        </w:rPr>
        <w:t xml:space="preserve">consequence when judgment fails.</w:t>
      </w:r>
    </w:p>
    <w:p>
      <w:pPr>
        <w:spacing w:after="200" w:line="276"/>
      </w:pPr>
      <w:r>
        <w:rPr>
          <w:rFonts w:ascii="Times New Roman" w:cs="Times New Roman" w:eastAsia="Times New Roman" w:hAnsi="Times New Roman"/>
          <w:b/>
          <w:bCs/>
          <w:sz w:val="24"/>
          <w:szCs w:val="24"/>
        </w:rPr>
        <w:t xml:space="preserve">Civil: </w:t>
      </w:r>
      <w:r>
        <w:rPr>
          <w:rFonts w:ascii="Times New Roman" w:cs="Times New Roman" w:eastAsia="Times New Roman" w:hAnsi="Times New Roman"/>
          <w:sz w:val="24"/>
          <w:szCs w:val="24"/>
        </w:rPr>
        <w:t xml:space="preserve">liability when harm results.</w:t>
      </w:r>
    </w:p>
    <w:p>
      <w:pPr>
        <w:spacing w:after="200" w:line="276"/>
      </w:pPr>
      <w:r>
        <w:rPr>
          <w:rFonts w:ascii="Times New Roman" w:cs="Times New Roman" w:eastAsia="Times New Roman" w:hAnsi="Times New Roman"/>
          <w:b/>
          <w:bCs/>
          <w:sz w:val="24"/>
          <w:szCs w:val="24"/>
        </w:rPr>
        <w:t xml:space="preserve">Criminal: </w:t>
      </w:r>
      <w:r>
        <w:rPr>
          <w:rFonts w:ascii="Times New Roman" w:cs="Times New Roman" w:eastAsia="Times New Roman" w:hAnsi="Times New Roman"/>
          <w:sz w:val="24"/>
          <w:szCs w:val="24"/>
        </w:rPr>
        <w:t xml:space="preserve">exposure when recklessness causes injury.</w:t>
      </w:r>
    </w:p>
    <w:p>
      <w:pPr>
        <w:spacing w:after="200" w:line="276"/>
        <w:jc w:val="left"/>
      </w:pPr>
      <w:r>
        <w:rPr>
          <w:rFonts w:ascii="Times New Roman" w:cs="Times New Roman" w:eastAsia="Times New Roman" w:hAnsi="Times New Roman"/>
          <w:b w:val="false"/>
          <w:bCs w:val="false"/>
          <w:i w:val="false"/>
          <w:iCs w:val="false"/>
          <w:sz w:val="24"/>
          <w:szCs w:val="24"/>
        </w:rPr>
        <w:t xml:space="preserve">If accountability cannot reach a named person through at least one of these channels, what exists is process, not governance. Remove any one channel and what remains is a weaker form of oversight. Remove all four and what remains is branding.</w:t>
      </w:r>
    </w:p>
    <w:p>
      <w:pPr>
        <w:pStyle w:val="Heading1"/>
        <w:spacing w:before="300" w:after="150"/>
      </w:pPr>
      <w:r>
        <w:rPr>
          <w:rFonts w:ascii="Times New Roman" w:cs="Times New Roman" w:eastAsia="Times New Roman" w:hAnsi="Times New Roman"/>
          <w:b/>
          <w:bCs/>
          <w:sz w:val="36"/>
          <w:szCs w:val="36"/>
        </w:rPr>
        <w:t xml:space="preserve">8. Application to High-Velocity Environments</w:t>
      </w:r>
    </w:p>
    <w:p>
      <w:pPr>
        <w:spacing w:after="200" w:line="276"/>
        <w:jc w:val="left"/>
      </w:pPr>
      <w:r>
        <w:rPr>
          <w:rFonts w:ascii="Times New Roman" w:cs="Times New Roman" w:eastAsia="Times New Roman" w:hAnsi="Times New Roman"/>
          <w:b w:val="false"/>
          <w:bCs w:val="false"/>
          <w:i w:val="false"/>
          <w:iCs w:val="false"/>
          <w:sz w:val="24"/>
          <w:szCs w:val="24"/>
        </w:rPr>
        <w:t xml:space="preserve">In high-velocity environments where outputs occur in milliseconds, such as algorithmic trading or automated cybersecurity response, the governance checkpoint shifts from individual output review to the governance policy that authorizes automated action. The named human signs the policy. The four accountability channels apply to that signature. Speed does not eliminate governance. It moves the checkpoint upstream.</w:t>
      </w:r>
    </w:p>
    <w:p>
      <w:pPr>
        <w:pStyle w:val="Heading1"/>
        <w:spacing w:before="300" w:after="150"/>
      </w:pPr>
      <w:r>
        <w:rPr>
          <w:rFonts w:ascii="Times New Roman" w:cs="Times New Roman" w:eastAsia="Times New Roman" w:hAnsi="Times New Roman"/>
          <w:b/>
          <w:bCs/>
          <w:sz w:val="36"/>
          <w:szCs w:val="36"/>
        </w:rPr>
        <w:t xml:space="preserve">9. The Pathway Model</w:t>
      </w:r>
    </w:p>
    <w:p>
      <w:pPr>
        <w:spacing w:after="200" w:line="276"/>
        <w:jc w:val="left"/>
      </w:pPr>
      <w:r>
        <w:rPr>
          <w:rFonts w:ascii="Times New Roman" w:cs="Times New Roman" w:eastAsia="Times New Roman" w:hAnsi="Times New Roman"/>
          <w:b w:val="false"/>
          <w:bCs w:val="false"/>
          <w:i w:val="false"/>
          <w:iCs w:val="false"/>
          <w:sz w:val="24"/>
          <w:szCs w:val="24"/>
        </w:rPr>
        <w:t xml:space="preserve">The relationship between Ethical AI, Responsible AI, and AI Governance is sequential, not interchangeable.</w:t>
      </w:r>
    </w:p>
    <w:p>
      <w:pPr>
        <w:spacing w:after="200" w:line="276"/>
      </w:pPr>
      <w:r>
        <w:rPr>
          <w:rFonts w:ascii="Times New Roman" w:cs="Times New Roman" w:eastAsia="Times New Roman" w:hAnsi="Times New Roman"/>
          <w:b/>
          <w:bCs/>
          <w:sz w:val="24"/>
          <w:szCs w:val="24"/>
        </w:rPr>
        <w:t xml:space="preserve">Ethical AI </w:t>
      </w:r>
      <w:r>
        <w:rPr>
          <w:rFonts w:ascii="Times New Roman" w:cs="Times New Roman" w:eastAsia="Times New Roman" w:hAnsi="Times New Roman"/>
          <w:sz w:val="24"/>
          <w:szCs w:val="24"/>
        </w:rPr>
        <w:t xml:space="preserve">is the origin. Value formation, character architecture, constitutional grounding. All AI begins here.</w:t>
      </w:r>
    </w:p>
    <w:p>
      <w:pPr>
        <w:spacing w:after="200" w:line="276"/>
      </w:pPr>
      <w:r>
        <w:rPr>
          <w:rFonts w:ascii="Times New Roman" w:cs="Times New Roman" w:eastAsia="Times New Roman" w:hAnsi="Times New Roman"/>
          <w:b/>
          <w:bCs/>
          <w:sz w:val="24"/>
          <w:szCs w:val="24"/>
        </w:rPr>
        <w:t xml:space="preserve">Responsible AI </w:t>
      </w:r>
      <w:r>
        <w:rPr>
          <w:rFonts w:ascii="Times New Roman" w:cs="Times New Roman" w:eastAsia="Times New Roman" w:hAnsi="Times New Roman"/>
          <w:sz w:val="24"/>
          <w:szCs w:val="24"/>
        </w:rPr>
        <w:t xml:space="preserve">evolves from Ethical AI. Character formation leads to technical implementation. Values become safeguards. Responsible AI has a ceiling: the absence of individual human oversight over individual outputs. Even sophisticated Responsible AI with random spot-checking remains machine checking machine.</w:t>
      </w:r>
    </w:p>
    <w:p>
      <w:pPr>
        <w:spacing w:after="200" w:line="276"/>
      </w:pPr>
      <w:r>
        <w:rPr>
          <w:rFonts w:ascii="Times New Roman" w:cs="Times New Roman" w:eastAsia="Times New Roman" w:hAnsi="Times New Roman"/>
          <w:b/>
          <w:bCs/>
          <w:sz w:val="24"/>
          <w:szCs w:val="24"/>
        </w:rPr>
        <w:t xml:space="preserve">AI Governance </w:t>
      </w:r>
      <w:r>
        <w:rPr>
          <w:rFonts w:ascii="Times New Roman" w:cs="Times New Roman" w:eastAsia="Times New Roman" w:hAnsi="Times New Roman"/>
          <w:sz w:val="24"/>
          <w:szCs w:val="24"/>
        </w:rPr>
        <w:t xml:space="preserve">requires transformation. A named human holds binding authority at specific checkpoints with personal accountability that survives audit. Required for sensitive domains regardless of efficiency cost.</w:t>
      </w:r>
    </w:p>
    <w:p>
      <w:pPr>
        <w:spacing w:after="200" w:line="276"/>
        <w:jc w:val="left"/>
      </w:pPr>
      <w:r>
        <w:rPr>
          <w:rFonts w:ascii="Times New Roman" w:cs="Times New Roman" w:eastAsia="Times New Roman" w:hAnsi="Times New Roman"/>
          <w:b w:val="false"/>
          <w:bCs w:val="false"/>
          <w:i w:val="false"/>
          <w:iCs w:val="false"/>
          <w:sz w:val="24"/>
          <w:szCs w:val="24"/>
        </w:rPr>
        <w:t xml:space="preserve">Some AI appropriately remains at Responsible AI permanently due to scale, reversibility, and stakes. The pathway from Responsible AI to AI Governance is open. The key that opens it is individual human authority over individual outputs with named accountability.</w:t>
      </w:r>
    </w:p>
    <w:p>
      <w:pPr>
        <w:pStyle w:val="Heading1"/>
        <w:spacing w:before="300" w:after="150"/>
      </w:pPr>
      <w:r>
        <w:rPr>
          <w:rFonts w:ascii="Times New Roman" w:cs="Times New Roman" w:eastAsia="Times New Roman" w:hAnsi="Times New Roman"/>
          <w:b/>
          <w:bCs/>
          <w:sz w:val="36"/>
          <w:szCs w:val="36"/>
        </w:rPr>
        <w:t xml:space="preserve">10. Publication Record</w:t>
      </w:r>
    </w:p>
    <w:p>
      <w:pPr>
        <w:spacing w:after="200" w:line="276"/>
        <w:jc w:val="left"/>
      </w:pPr>
      <w:r>
        <w:rPr>
          <w:rFonts w:ascii="Times New Roman" w:cs="Times New Roman" w:eastAsia="Times New Roman" w:hAnsi="Times New Roman"/>
          <w:b w:val="false"/>
          <w:bCs w:val="false"/>
          <w:i w:val="false"/>
          <w:iCs w:val="false"/>
          <w:sz w:val="24"/>
          <w:szCs w:val="24"/>
        </w:rPr>
        <w:t xml:space="preserve">The following publications establish the public record for this proposed definition:</w:t>
      </w:r>
    </w:p>
    <w:p>
      <w:pPr>
        <w:spacing w:after="200" w:line="276"/>
      </w:pPr>
      <w:r>
        <w:rPr>
          <w:rFonts w:ascii="Times New Roman" w:cs="Times New Roman" w:eastAsia="Times New Roman" w:hAnsi="Times New Roman"/>
          <w:b/>
          <w:bCs/>
          <w:sz w:val="24"/>
          <w:szCs w:val="24"/>
        </w:rPr>
        <w:t xml:space="preserve">BasilPuglisi.com: </w:t>
      </w:r>
      <w:r>
        <w:rPr>
          <w:rFonts w:ascii="Times New Roman" w:cs="Times New Roman" w:eastAsia="Times New Roman" w:hAnsi="Times New Roman"/>
          <w:sz w:val="24"/>
          <w:szCs w:val="24"/>
        </w:rPr>
        <w:t xml:space="preserve">"AI Governance Has No Formal Definition. Here Is One." Published March 15, 2026. URL: basilpuglisi.com/ai-governance-has-no-formal-definition-here-is-one/</w:t>
      </w:r>
    </w:p>
    <w:p>
      <w:pPr>
        <w:spacing w:after="200" w:line="276"/>
      </w:pPr>
      <w:r>
        <w:rPr>
          <w:rFonts w:ascii="Times New Roman" w:cs="Times New Roman" w:eastAsia="Times New Roman" w:hAnsi="Times New Roman"/>
          <w:b/>
          <w:bCs/>
          <w:sz w:val="24"/>
          <w:szCs w:val="24"/>
        </w:rPr>
        <w:t xml:space="preserve">LinkedIn Article: </w:t>
      </w:r>
      <w:r>
        <w:rPr>
          <w:rFonts w:ascii="Times New Roman" w:cs="Times New Roman" w:eastAsia="Times New Roman" w:hAnsi="Times New Roman"/>
          <w:sz w:val="24"/>
          <w:szCs w:val="24"/>
        </w:rPr>
        <w:t xml:space="preserve">"AI Governance Has No Formal Definition. That Is a Problem for Every Organization Using AI." Published March 15, 2026. LinkedIn Articles, Basil C. Puglisi.</w:t>
      </w:r>
    </w:p>
    <w:p>
      <w:pPr>
        <w:spacing w:after="200" w:line="276"/>
      </w:pPr>
      <w:r>
        <w:rPr>
          <w:rFonts w:ascii="Times New Roman" w:cs="Times New Roman" w:eastAsia="Times New Roman" w:hAnsi="Times New Roman"/>
          <w:b/>
          <w:bCs/>
          <w:sz w:val="24"/>
          <w:szCs w:val="24"/>
        </w:rPr>
        <w:t xml:space="preserve">Wikipedia Draft: </w:t>
      </w:r>
      <w:r>
        <w:rPr>
          <w:rFonts w:ascii="Times New Roman" w:cs="Times New Roman" w:eastAsia="Times New Roman" w:hAnsi="Times New Roman"/>
          <w:sz w:val="24"/>
          <w:szCs w:val="24"/>
        </w:rPr>
        <w:t xml:space="preserve">"AI Governance" submitted through Articles for Creation (Draft:AI Governance). Submitted March 15, 2026. 18 inline citations from peer-reviewed and institutional sources. Draft does not contain the proposed definition (Wikipedia NOR policy prohibits original synthesis).</w:t>
      </w:r>
    </w:p>
    <w:p>
      <w:pPr>
        <w:spacing w:after="200" w:line="276"/>
      </w:pPr>
      <w:r>
        <w:rPr>
          <w:rFonts w:ascii="Times New Roman" w:cs="Times New Roman" w:eastAsia="Times New Roman" w:hAnsi="Times New Roman"/>
          <w:b/>
          <w:bCs/>
          <w:sz w:val="24"/>
          <w:szCs w:val="24"/>
        </w:rPr>
        <w:t xml:space="preserve">Grokipedia: </w:t>
      </w:r>
      <w:r>
        <w:rPr>
          <w:rFonts w:ascii="Times New Roman" w:cs="Times New Roman" w:eastAsia="Times New Roman" w:hAnsi="Times New Roman"/>
          <w:sz w:val="24"/>
          <w:szCs w:val="24"/>
        </w:rPr>
        <w:t xml:space="preserve">Edit suggestion submitted March 15, 2026, proposing correction of the existing AI Governance page to reflect institutional consensus rather than niche Digital Persona framing.</w:t>
      </w:r>
    </w:p>
    <w:p>
      <w:pPr>
        <w:spacing w:after="200" w:line="276"/>
      </w:pPr>
      <w:r>
        <w:rPr>
          <w:rFonts w:ascii="Times New Roman" w:cs="Times New Roman" w:eastAsia="Times New Roman" w:hAnsi="Times New Roman"/>
          <w:b/>
          <w:bCs/>
          <w:sz w:val="24"/>
          <w:szCs w:val="24"/>
        </w:rPr>
        <w:t xml:space="preserve">GitHub Repository: </w:t>
      </w:r>
      <w:r>
        <w:rPr>
          <w:rFonts w:ascii="Times New Roman" w:cs="Times New Roman" w:eastAsia="Times New Roman" w:hAnsi="Times New Roman"/>
          <w:sz w:val="24"/>
          <w:szCs w:val="24"/>
        </w:rPr>
        <w:t xml:space="preserve">github.com/basilpuglisi/HAIA. This document deposited as policy record.</w:t>
      </w:r>
    </w:p>
    <w:p>
      <w:pPr>
        <w:pStyle w:val="Heading1"/>
        <w:spacing w:before="300" w:after="150"/>
      </w:pPr>
      <w:r>
        <w:rPr>
          <w:rFonts w:ascii="Times New Roman" w:cs="Times New Roman" w:eastAsia="Times New Roman" w:hAnsi="Times New Roman"/>
          <w:b/>
          <w:bCs/>
          <w:sz w:val="36"/>
          <w:szCs w:val="36"/>
        </w:rPr>
        <w:t xml:space="preserve">11. Priority Claim</w:t>
      </w:r>
    </w:p>
    <w:p>
      <w:pPr>
        <w:spacing w:after="200" w:line="276"/>
        <w:jc w:val="left"/>
      </w:pPr>
      <w:r>
        <w:rPr>
          <w:rFonts w:ascii="Times New Roman" w:cs="Times New Roman" w:eastAsia="Times New Roman" w:hAnsi="Times New Roman"/>
          <w:b w:val="false"/>
          <w:bCs w:val="false"/>
          <w:i w:val="false"/>
          <w:iCs w:val="false"/>
          <w:sz w:val="24"/>
          <w:szCs w:val="24"/>
        </w:rPr>
        <w:t xml:space="preserve">This document records that on March 15, 2026, Basil C. Puglisi proposed the first formal, standalone, operational definition of AI Governance as a synthesized composite of ISO 37000, OECD AI Principles, NIST AI RMF, and EU AI Act Article 14.</w:t>
      </w:r>
    </w:p>
    <w:p>
      <w:pPr>
        <w:spacing w:after="200" w:line="276"/>
        <w:jc w:val="left"/>
      </w:pPr>
      <w:r>
        <w:rPr>
          <w:rFonts w:ascii="Times New Roman" w:cs="Times New Roman" w:eastAsia="Times New Roman" w:hAnsi="Times New Roman"/>
          <w:b w:val="false"/>
          <w:bCs w:val="false"/>
          <w:i w:val="false"/>
          <w:iCs w:val="false"/>
          <w:sz w:val="24"/>
          <w:szCs w:val="24"/>
        </w:rPr>
        <w:t xml:space="preserve">The claim is not that the individual concepts (accountability, human oversight, decision authority) are new. Each exists in the source frameworks. The claim is that no prior published source assembled these elements into a single, operational, testable definition of AI Governance with specified accountability channels and a named-human threshold.</w:t>
      </w:r>
    </w:p>
    <w:p>
      <w:pPr>
        <w:spacing w:after="200" w:line="276"/>
        <w:jc w:val="left"/>
      </w:pPr>
      <w:r>
        <w:rPr>
          <w:rFonts w:ascii="Times New Roman" w:cs="Times New Roman" w:eastAsia="Times New Roman" w:hAnsi="Times New Roman"/>
          <w:b w:val="false"/>
          <w:bCs w:val="false"/>
          <w:i w:val="false"/>
          <w:iCs w:val="false"/>
          <w:sz w:val="24"/>
          <w:szCs w:val="24"/>
        </w:rPr>
        <w:t xml:space="preserve">This priority claim is subject to verification. If a prior published source is identified that provides a substantially equivalent formal definition of AI Governance as a standalone operational term with specified accountability channels, this claim will be amended accordingly. Epistemic humility applies.</w:t>
      </w:r>
    </w:p>
    <w:p>
      <w:pPr>
        <w:pStyle w:val="Heading1"/>
        <w:spacing w:before="300" w:after="150"/>
      </w:pPr>
      <w:r>
        <w:rPr>
          <w:rFonts w:ascii="Times New Roman" w:cs="Times New Roman" w:eastAsia="Times New Roman" w:hAnsi="Times New Roman"/>
          <w:b/>
          <w:bCs/>
          <w:sz w:val="36"/>
          <w:szCs w:val="36"/>
        </w:rPr>
        <w:t xml:space="preserve">12. Sources</w:t>
      </w:r>
    </w:p>
    <w:p>
      <w:pPr>
        <w:spacing w:after="200" w:line="276"/>
        <w:jc w:val="left"/>
      </w:pPr>
      <w:r>
        <w:rPr>
          <w:rFonts w:ascii="Times New Roman" w:cs="Times New Roman" w:eastAsia="Times New Roman" w:hAnsi="Times New Roman"/>
          <w:b w:val="false"/>
          <w:bCs w:val="false"/>
          <w:i w:val="false"/>
          <w:iCs w:val="false"/>
          <w:sz w:val="24"/>
          <w:szCs w:val="24"/>
        </w:rPr>
        <w:t xml:space="preserve">Batool, A., Zowghi, D., &amp; Bano, M. (2025). AI governance: a systematic literature review. AI and Ethics, 5, 3265-3279. doi:10.1007/s43681-024-00653-w</w:t>
      </w:r>
    </w:p>
    <w:p>
      <w:pPr>
        <w:spacing w:after="200" w:line="276"/>
        <w:jc w:val="left"/>
      </w:pPr>
      <w:r>
        <w:rPr>
          <w:rFonts w:ascii="Times New Roman" w:cs="Times New Roman" w:eastAsia="Times New Roman" w:hAnsi="Times New Roman"/>
          <w:b w:val="false"/>
          <w:bCs w:val="false"/>
          <w:i w:val="false"/>
          <w:iCs w:val="false"/>
          <w:sz w:val="24"/>
          <w:szCs w:val="24"/>
        </w:rPr>
        <w:t xml:space="preserve">Council of Europe. (2026, January 28). Armenia signs the Framework Convention on Artificial Intelligence. coe.int</w:t>
      </w:r>
    </w:p>
    <w:p>
      <w:pPr>
        <w:spacing w:after="200" w:line="276"/>
        <w:jc w:val="left"/>
      </w:pPr>
      <w:r>
        <w:rPr>
          <w:rFonts w:ascii="Times New Roman" w:cs="Times New Roman" w:eastAsia="Times New Roman" w:hAnsi="Times New Roman"/>
          <w:b w:val="false"/>
          <w:bCs w:val="false"/>
          <w:i w:val="false"/>
          <w:iCs w:val="false"/>
          <w:sz w:val="24"/>
          <w:szCs w:val="24"/>
        </w:rPr>
        <w:t xml:space="preserve">European Union. (2024). Artificial Intelligence Act, Regulation 2024/1689. Article 14: Human Oversight. artificialintelligenceact.eu/article/14/</w:t>
      </w:r>
    </w:p>
    <w:p>
      <w:pPr>
        <w:spacing w:after="200" w:line="276"/>
        <w:jc w:val="left"/>
      </w:pPr>
      <w:r>
        <w:rPr>
          <w:rFonts w:ascii="Times New Roman" w:cs="Times New Roman" w:eastAsia="Times New Roman" w:hAnsi="Times New Roman"/>
          <w:b w:val="false"/>
          <w:bCs w:val="false"/>
          <w:i w:val="false"/>
          <w:iCs w:val="false"/>
          <w:sz w:val="24"/>
          <w:szCs w:val="24"/>
        </w:rPr>
        <w:t xml:space="preserve">Floridi, L., &amp; Cowan, S. (2025). Operationalizing accountability in AI governance: From principles to procedures. AI and Ethics, 5(2). doi:10.1007/s43681-025-00438-2</w:t>
      </w:r>
    </w:p>
    <w:p>
      <w:pPr>
        <w:spacing w:after="200" w:line="276"/>
        <w:jc w:val="left"/>
      </w:pPr>
      <w:r>
        <w:rPr>
          <w:rFonts w:ascii="Times New Roman" w:cs="Times New Roman" w:eastAsia="Times New Roman" w:hAnsi="Times New Roman"/>
          <w:b w:val="false"/>
          <w:bCs w:val="false"/>
          <w:i w:val="false"/>
          <w:iCs w:val="false"/>
          <w:sz w:val="24"/>
          <w:szCs w:val="24"/>
        </w:rPr>
        <w:t xml:space="preserve">Goffi, E. R. (2022). Respecting cultural diversity in ethics applied to AI: A new approach for multicultural governance. Revista Mision Juridica.</w:t>
      </w:r>
    </w:p>
    <w:p>
      <w:pPr>
        <w:spacing w:after="200" w:line="276"/>
        <w:jc w:val="left"/>
      </w:pPr>
      <w:r>
        <w:rPr>
          <w:rFonts w:ascii="Times New Roman" w:cs="Times New Roman" w:eastAsia="Times New Roman" w:hAnsi="Times New Roman"/>
          <w:b w:val="false"/>
          <w:bCs w:val="false"/>
          <w:i w:val="false"/>
          <w:iCs w:val="false"/>
          <w:sz w:val="24"/>
          <w:szCs w:val="24"/>
        </w:rPr>
        <w:t xml:space="preserve">International Organization for Standardization. (2021). ISO 37000:2021 Governance of Organizations. iso.org/standard/65034.html</w:t>
      </w:r>
    </w:p>
    <w:p>
      <w:pPr>
        <w:spacing w:after="200" w:line="276"/>
        <w:jc w:val="left"/>
      </w:pPr>
      <w:r>
        <w:rPr>
          <w:rFonts w:ascii="Times New Roman" w:cs="Times New Roman" w:eastAsia="Times New Roman" w:hAnsi="Times New Roman"/>
          <w:b w:val="false"/>
          <w:bCs w:val="false"/>
          <w:i w:val="false"/>
          <w:iCs w:val="false"/>
          <w:sz w:val="24"/>
          <w:szCs w:val="24"/>
        </w:rPr>
        <w:t xml:space="preserve">International Organization for Standardization. (2022). ISO/IEC 38507:2022 Governance Implications of the Use of AI by Organizations. iso.org/standard/56641.html</w:t>
      </w:r>
    </w:p>
    <w:p>
      <w:pPr>
        <w:spacing w:after="200" w:line="276"/>
        <w:jc w:val="left"/>
      </w:pPr>
      <w:r>
        <w:rPr>
          <w:rFonts w:ascii="Times New Roman" w:cs="Times New Roman" w:eastAsia="Times New Roman" w:hAnsi="Times New Roman"/>
          <w:b w:val="false"/>
          <w:bCs w:val="false"/>
          <w:i w:val="false"/>
          <w:iCs w:val="false"/>
          <w:sz w:val="24"/>
          <w:szCs w:val="24"/>
        </w:rPr>
        <w:t xml:space="preserve">International Organization for Standardization. (2023). ISO/IEC 42001:2023 AI Management Systems. iso.org/standard/42001</w:t>
      </w:r>
    </w:p>
    <w:p>
      <w:pPr>
        <w:spacing w:after="200" w:line="276"/>
        <w:jc w:val="left"/>
      </w:pPr>
      <w:r>
        <w:rPr>
          <w:rFonts w:ascii="Times New Roman" w:cs="Times New Roman" w:eastAsia="Times New Roman" w:hAnsi="Times New Roman"/>
          <w:b w:val="false"/>
          <w:bCs w:val="false"/>
          <w:i w:val="false"/>
          <w:iCs w:val="false"/>
          <w:sz w:val="24"/>
          <w:szCs w:val="24"/>
        </w:rPr>
        <w:t xml:space="preserve">Jobin, A., Ienca, M., &amp; Vayena, E. (2019). The global landscape of AI ethics guidelines. Nature Machine Intelligence, 1, 389-399. doi:10.1038/s42256-019-0088-2</w:t>
      </w:r>
    </w:p>
    <w:p>
      <w:pPr>
        <w:spacing w:after="200" w:line="276"/>
        <w:jc w:val="left"/>
      </w:pPr>
      <w:r>
        <w:rPr>
          <w:rFonts w:ascii="Times New Roman" w:cs="Times New Roman" w:eastAsia="Times New Roman" w:hAnsi="Times New Roman"/>
          <w:b w:val="false"/>
          <w:bCs w:val="false"/>
          <w:i w:val="false"/>
          <w:iCs w:val="false"/>
          <w:sz w:val="24"/>
          <w:szCs w:val="24"/>
        </w:rPr>
        <w:t xml:space="preserve">Maas, M. M. (2025). Architectures of Global AI Governance: From Technological Change to Human Choice. Oxford Academic. doi:10.1093/9780191988455.003.0001</w:t>
      </w:r>
    </w:p>
    <w:p>
      <w:pPr>
        <w:spacing w:after="200" w:line="276"/>
        <w:jc w:val="left"/>
      </w:pPr>
      <w:r>
        <w:rPr>
          <w:rFonts w:ascii="Times New Roman" w:cs="Times New Roman" w:eastAsia="Times New Roman" w:hAnsi="Times New Roman"/>
          <w:b w:val="false"/>
          <w:bCs w:val="false"/>
          <w:i w:val="false"/>
          <w:iCs w:val="false"/>
          <w:sz w:val="24"/>
          <w:szCs w:val="24"/>
        </w:rPr>
        <w:t xml:space="preserve">National Institute of Standards and Technology. (2023). AI Risk Management Framework (AI RMF 1.0). nvlpubs.nist.gov/nistpubs/ai/nist.ai.100-1.pdf</w:t>
      </w:r>
    </w:p>
    <w:p>
      <w:pPr>
        <w:spacing w:after="200" w:line="276"/>
        <w:jc w:val="left"/>
      </w:pPr>
      <w:r>
        <w:rPr>
          <w:rFonts w:ascii="Times New Roman" w:cs="Times New Roman" w:eastAsia="Times New Roman" w:hAnsi="Times New Roman"/>
          <w:b w:val="false"/>
          <w:bCs w:val="false"/>
          <w:i w:val="false"/>
          <w:iCs w:val="false"/>
          <w:sz w:val="24"/>
          <w:szCs w:val="24"/>
        </w:rPr>
        <w:t xml:space="preserve">National Institute of Standards and Technology. (2024). Generative AI Profile (NIST AI 600-1). nvlpubs.nist.gov/nistpubs/ai/NIST.AI.600-1.pdf</w:t>
      </w:r>
    </w:p>
    <w:p>
      <w:pPr>
        <w:spacing w:after="200" w:line="276"/>
        <w:jc w:val="left"/>
      </w:pPr>
      <w:r>
        <w:rPr>
          <w:rFonts w:ascii="Times New Roman" w:cs="Times New Roman" w:eastAsia="Times New Roman" w:hAnsi="Times New Roman"/>
          <w:b w:val="false"/>
          <w:bCs w:val="false"/>
          <w:i w:val="false"/>
          <w:iCs w:val="false"/>
          <w:sz w:val="24"/>
          <w:szCs w:val="24"/>
        </w:rPr>
        <w:t xml:space="preserve">OECD. (2019, updated 2024). Recommendation of the Council on Artificial Intelligence. oecd.ai/en/ai-principles</w:t>
      </w:r>
    </w:p>
    <w:p>
      <w:pPr>
        <w:spacing w:after="200" w:line="276"/>
        <w:jc w:val="left"/>
      </w:pPr>
      <w:r>
        <w:rPr>
          <w:rFonts w:ascii="Times New Roman" w:cs="Times New Roman" w:eastAsia="Times New Roman" w:hAnsi="Times New Roman"/>
          <w:b w:val="false"/>
          <w:bCs w:val="false"/>
          <w:i w:val="false"/>
          <w:iCs w:val="false"/>
          <w:sz w:val="24"/>
          <w:szCs w:val="24"/>
        </w:rPr>
        <w:t xml:space="preserve">PMC. (2021). Companies committed to responsible AI: From principles towards implementation and regulation? Philosophy &amp; Technology. PMC 8492454.</w:t>
      </w:r>
    </w:p>
    <w:p>
      <w:pPr>
        <w:spacing w:after="200" w:line="276"/>
        <w:jc w:val="left"/>
      </w:pPr>
      <w:r>
        <w:rPr>
          <w:rFonts w:ascii="Times New Roman" w:cs="Times New Roman" w:eastAsia="Times New Roman" w:hAnsi="Times New Roman"/>
          <w:b w:val="false"/>
          <w:bCs w:val="false"/>
          <w:i w:val="false"/>
          <w:iCs w:val="false"/>
          <w:sz w:val="24"/>
          <w:szCs w:val="24"/>
        </w:rPr>
        <w:t xml:space="preserve">Stix, C. (2022). Artificial intelligence by any other name: A brief history of the conceptualization of 'trustworthy artificial intelligence.' Discover Artificial Intelligence, 2(26). doi:10.1007/s44163-022-00041-5</w:t>
      </w:r>
    </w:p>
    <w:p>
      <w:pPr>
        <w:spacing w:after="200" w:line="276"/>
        <w:jc w:val="left"/>
      </w:pPr>
      <w:r>
        <w:rPr>
          <w:rFonts w:ascii="Times New Roman" w:cs="Times New Roman" w:eastAsia="Times New Roman" w:hAnsi="Times New Roman"/>
          <w:b w:val="false"/>
          <w:bCs w:val="false"/>
          <w:i w:val="false"/>
          <w:iCs w:val="false"/>
          <w:sz w:val="24"/>
          <w:szCs w:val="24"/>
        </w:rPr>
        <w:t xml:space="preserve">UNESCO. (2021). Recommendation on the Ethics of Artificial Intelligence. unesco.org/en/legal-affairs/recommendation-ethics-artificial-intelligence</w:t>
      </w:r>
    </w:p>
    <w:p>
      <w:pPr>
        <w:spacing w:after="200" w:line="276"/>
        <w:jc w:val="left"/>
      </w:pPr>
      <w:r>
        <w:rPr>
          <w:rFonts w:ascii="Times New Roman" w:cs="Times New Roman" w:eastAsia="Times New Roman" w:hAnsi="Times New Roman"/>
          <w:b w:val="false"/>
          <w:bCs w:val="false"/>
          <w:i w:val="false"/>
          <w:iCs w:val="false"/>
          <w:sz w:val="24"/>
          <w:szCs w:val="24"/>
        </w:rPr>
        <w:t xml:space="preserve">Waldrop, M. (1987). A question of responsibility. AI Magazine.</w:t>
      </w:r>
    </w:p>
    <w:p>
      <w:pPr>
        <w:pBdr>
          <w:bottom w:val="single" w:color="000000" w:sz="6"/>
        </w:pBdr>
        <w:spacing w:before="200" w:after="200"/>
      </w:pPr>
    </w:p>
    <w:p>
      <w:pPr>
        <w:spacing w:after="200" w:line="276"/>
        <w:jc w:val="left"/>
      </w:pPr>
      <w:r>
        <w:rPr>
          <w:rFonts w:ascii="Times New Roman" w:cs="Times New Roman" w:eastAsia="Times New Roman" w:hAnsi="Times New Roman"/>
          <w:b w:val="false"/>
          <w:bCs w:val="false"/>
          <w:i/>
          <w:iCs/>
          <w:sz w:val="24"/>
          <w:szCs w:val="24"/>
        </w:rPr>
        <w:t xml:space="preserve">Document prepared under HAIA-RECCLIN governance methodology with Checkpoint-Based Governance protocol. Human arbiter: Basil C. Puglisi, MPA. #AIassisted.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2026-03-15T06:56:41.052Z</dcterms:created>
  <dcterms:modified xsi:type="dcterms:W3CDTF">2026-03-15T06:56:41.053Z</dcterms:modified>
</cp:coreProperties>
</file>

<file path=docProps/custom.xml><?xml version="1.0" encoding="utf-8"?>
<Properties xmlns="http://schemas.openxmlformats.org/officeDocument/2006/custom-properties" xmlns:vt="http://schemas.openxmlformats.org/officeDocument/2006/docPropsVTypes"/>
</file>