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left"/>
      </w:pPr>
      <w:r>
        <w:rPr>
          <w:rFonts w:ascii="Arial" w:cs="Arial" w:eastAsia="Arial" w:hAnsi="Arial"/>
          <w:sz w:val="24"/>
          <w:szCs w:val="24"/>
        </w:rPr>
        <w:t xml:space="preserve"/>
      </w:r>
    </w:p>
    <w:p>
      <w:pPr>
        <w:spacing w:before="120" w:after="120"/>
        <w:jc w:val="center"/>
      </w:pPr>
      <w:r>
        <w:rPr>
          <w:rFonts w:ascii="Arial" w:cs="Arial" w:eastAsia="Arial" w:hAnsi="Arial"/>
          <w:b/>
          <w:bCs/>
          <w:color w:val="1B3A5C"/>
          <w:sz w:val="40"/>
          <w:szCs w:val="40"/>
        </w:rPr>
        <w:t xml:space="preserve">PRIOR ART PROVENANCE</w:t>
      </w:r>
    </w:p>
    <w:p>
      <w:pPr>
        <w:spacing w:before="100" w:after="120"/>
        <w:jc w:val="center"/>
      </w:pPr>
      <w:r>
        <w:rPr>
          <w:rFonts w:ascii="Arial" w:cs="Arial" w:eastAsia="Arial" w:hAnsi="Arial"/>
          <w:color w:val="1B3A5C"/>
          <w:sz w:val="28"/>
          <w:szCs w:val="28"/>
        </w:rPr>
        <w:t xml:space="preserve">AND</w:t>
      </w:r>
    </w:p>
    <w:p>
      <w:pPr>
        <w:spacing w:before="100" w:after="120"/>
        <w:jc w:val="center"/>
      </w:pPr>
      <w:r>
        <w:rPr>
          <w:rFonts w:ascii="Arial" w:cs="Arial" w:eastAsia="Arial" w:hAnsi="Arial"/>
          <w:b/>
          <w:bCs/>
          <w:color w:val="1B3A5C"/>
          <w:sz w:val="40"/>
          <w:szCs w:val="40"/>
        </w:rPr>
        <w:t xml:space="preserve">INTELLECTUAL PROPERTY</w:t>
      </w:r>
    </w:p>
    <w:p>
      <w:pPr>
        <w:spacing w:before="100" w:after="120"/>
        <w:jc w:val="center"/>
      </w:pPr>
      <w:r>
        <w:rPr>
          <w:rFonts w:ascii="Arial" w:cs="Arial" w:eastAsia="Arial" w:hAnsi="Arial"/>
          <w:b/>
          <w:bCs/>
          <w:color w:val="1B3A5C"/>
          <w:sz w:val="40"/>
          <w:szCs w:val="40"/>
        </w:rPr>
        <w:t xml:space="preserve">TIMELINE RECORD</w:t>
      </w:r>
    </w:p>
    <w:p>
      <w:pPr>
        <w:spacing w:before="200" w:after="120"/>
        <w:jc w:val="left"/>
      </w:pPr>
      <w:r>
        <w:rPr>
          <w:rFonts w:ascii="Arial" w:cs="Arial" w:eastAsia="Arial" w:hAnsi="Arial"/>
          <w:sz w:val="24"/>
          <w:szCs w:val="24"/>
        </w:rPr>
        <w:t xml:space="preserve"/>
      </w:r>
    </w:p>
    <w:p>
      <w:pPr>
        <w:pBdr>
          <w:bottom w:val="single" w:color="1B3A5C" w:sz="6" w:space="1"/>
        </w:pBdr>
        <w:spacing w:before="200" w:after="200"/>
      </w:pPr>
    </w:p>
    <w:p>
      <w:pPr>
        <w:spacing w:before="200" w:after="120"/>
        <w:jc w:val="left"/>
      </w:pPr>
      <w:r>
        <w:rPr>
          <w:rFonts w:ascii="Arial" w:cs="Arial" w:eastAsia="Arial" w:hAnsi="Arial"/>
          <w:sz w:val="24"/>
          <w:szCs w:val="24"/>
        </w:rPr>
        <w:t xml:space="preserve"/>
      </w:r>
    </w:p>
    <w:p>
      <w:pPr>
        <w:spacing w:before="120" w:after="120"/>
        <w:jc w:val="center"/>
      </w:pPr>
      <w:r>
        <w:rPr>
          <w:rFonts w:ascii="Arial" w:cs="Arial" w:eastAsia="Arial" w:hAnsi="Arial"/>
          <w:b/>
          <w:bCs/>
          <w:sz w:val="28"/>
          <w:szCs w:val="28"/>
        </w:rPr>
        <w:t xml:space="preserve">HAIA-RECCLIN Agent Architecture Specification</w:t>
      </w:r>
    </w:p>
    <w:p>
      <w:pPr>
        <w:spacing w:before="60" w:after="120"/>
        <w:jc w:val="center"/>
      </w:pPr>
      <w:r>
        <w:rPr>
          <w:rFonts w:ascii="Arial" w:cs="Arial" w:eastAsia="Arial" w:hAnsi="Arial"/>
          <w:b/>
          <w:bCs/>
          <w:sz w:val="28"/>
          <w:szCs w:val="28"/>
        </w:rPr>
        <w:t xml:space="preserve">GOPEL (Governance Orchestrator Policy Enforcement Layer)</w:t>
      </w:r>
    </w:p>
    <w:p>
      <w:pPr>
        <w:spacing w:before="60" w:after="120"/>
        <w:jc w:val="center"/>
      </w:pPr>
      <w:r>
        <w:rPr>
          <w:rFonts w:ascii="Arial" w:cs="Arial" w:eastAsia="Arial" w:hAnsi="Arial"/>
          <w:b/>
          <w:bCs/>
          <w:sz w:val="28"/>
          <w:szCs w:val="28"/>
        </w:rPr>
        <w:t xml:space="preserve">Checkpoint-Based Governance v4.2.1</w:t>
      </w:r>
    </w:p>
    <w:p>
      <w:pPr>
        <w:spacing w:before="60" w:after="120"/>
        <w:jc w:val="center"/>
      </w:pPr>
      <w:r>
        <w:rPr>
          <w:rFonts w:ascii="Arial" w:cs="Arial" w:eastAsia="Arial" w:hAnsi="Arial"/>
          <w:b/>
          <w:bCs/>
          <w:sz w:val="28"/>
          <w:szCs w:val="28"/>
        </w:rPr>
        <w:t xml:space="preserve">Factics Methodology</w:t>
      </w:r>
    </w:p>
    <w:p>
      <w:pPr>
        <w:spacing w:before="60" w:after="120"/>
        <w:jc w:val="center"/>
      </w:pPr>
      <w:r>
        <w:rPr>
          <w:rFonts w:ascii="Arial" w:cs="Arial" w:eastAsia="Arial" w:hAnsi="Arial"/>
          <w:b/>
          <w:bCs/>
          <w:sz w:val="28"/>
          <w:szCs w:val="28"/>
        </w:rPr>
        <w:t xml:space="preserve">Human Enhancement Quotient (HEQ) Framework</w:t>
      </w:r>
    </w:p>
    <w:p>
      <w:pPr>
        <w:spacing w:before="400" w:after="120"/>
        <w:jc w:val="left"/>
      </w:pPr>
      <w:r>
        <w:rPr>
          <w:rFonts w:ascii="Arial" w:cs="Arial" w:eastAsia="Arial" w:hAnsi="Arial"/>
          <w:sz w:val="24"/>
          <w:szCs w:val="24"/>
        </w:rPr>
        <w:t xml:space="preserve"/>
      </w:r>
    </w:p>
    <w:p>
      <w:pPr>
        <w:spacing w:before="120" w:after="120"/>
        <w:jc w:val="center"/>
      </w:pPr>
      <w:r>
        <w:rPr>
          <w:rFonts w:ascii="Arial" w:cs="Arial" w:eastAsia="Arial" w:hAnsi="Arial"/>
          <w:i/>
          <w:iCs/>
          <w:sz w:val="24"/>
          <w:szCs w:val="24"/>
        </w:rPr>
        <w:t xml:space="preserve">Establishing Publication Priority, Landscape Search Methodology,</w:t>
      </w:r>
    </w:p>
    <w:p>
      <w:pPr>
        <w:spacing w:before="60" w:after="120"/>
        <w:jc w:val="center"/>
      </w:pPr>
      <w:r>
        <w:rPr>
          <w:rFonts w:ascii="Arial" w:cs="Arial" w:eastAsia="Arial" w:hAnsi="Arial"/>
          <w:i/>
          <w:iCs/>
          <w:sz w:val="24"/>
          <w:szCs w:val="24"/>
        </w:rPr>
        <w:t xml:space="preserve">Integration Gap Verification, and Subsequent Engagement Record</w:t>
      </w:r>
    </w:p>
    <w:p>
      <w:pPr>
        <w:spacing w:before="600" w:after="120"/>
        <w:jc w:val="left"/>
      </w:pPr>
      <w:r>
        <w:rPr>
          <w:rFonts w:ascii="Arial" w:cs="Arial" w:eastAsia="Arial" w:hAnsi="Arial"/>
          <w:sz w:val="24"/>
          <w:szCs w:val="24"/>
        </w:rPr>
        <w:t xml:space="preserve"/>
      </w:r>
    </w:p>
    <w:p>
      <w:pPr>
        <w:spacing w:before="120" w:after="120"/>
        <w:jc w:val="center"/>
      </w:pPr>
      <w:r>
        <w:rPr>
          <w:rFonts w:ascii="Arial" w:cs="Arial" w:eastAsia="Arial" w:hAnsi="Arial"/>
          <w:b/>
          <w:bCs/>
          <w:sz w:val="28"/>
          <w:szCs w:val="28"/>
        </w:rPr>
        <w:t xml:space="preserve">Basil C. Puglisi, MPA</w:t>
      </w:r>
    </w:p>
    <w:p>
      <w:pPr>
        <w:spacing w:before="60" w:after="120"/>
        <w:jc w:val="center"/>
      </w:pPr>
      <w:r>
        <w:rPr>
          <w:rFonts w:ascii="Arial" w:cs="Arial" w:eastAsia="Arial" w:hAnsi="Arial"/>
          <w:sz w:val="24"/>
          <w:szCs w:val="24"/>
        </w:rPr>
        <w:t xml:space="preserve">Human-AI Collaboration Strategist</w:t>
      </w:r>
    </w:p>
    <w:p>
      <w:pPr>
        <w:spacing w:before="60" w:after="120"/>
        <w:jc w:val="center"/>
      </w:pPr>
      <w:r>
        <w:rPr>
          <w:rFonts w:ascii="Arial" w:cs="Arial" w:eastAsia="Arial" w:hAnsi="Arial"/>
          <w:sz w:val="22"/>
          <w:szCs w:val="22"/>
        </w:rPr>
        <w:t xml:space="preserve">basilpuglisi.com | github.com/basilpuglisi/HAIA</w:t>
      </w:r>
    </w:p>
    <w:p>
      <w:pPr>
        <w:spacing w:before="300" w:after="120"/>
        <w:jc w:val="left"/>
      </w:pPr>
      <w:r>
        <w:rPr>
          <w:rFonts w:ascii="Arial" w:cs="Arial" w:eastAsia="Arial" w:hAnsi="Arial"/>
          <w:sz w:val="24"/>
          <w:szCs w:val="24"/>
        </w:rPr>
        <w:t xml:space="preserve"/>
      </w:r>
    </w:p>
    <w:p>
      <w:pPr>
        <w:spacing w:before="120" w:after="120"/>
        <w:jc w:val="center"/>
      </w:pPr>
      <w:r>
        <w:rPr>
          <w:rFonts w:ascii="Arial" w:cs="Arial" w:eastAsia="Arial" w:hAnsi="Arial"/>
          <w:b/>
          <w:bCs/>
          <w:sz w:val="24"/>
          <w:szCs w:val="24"/>
        </w:rPr>
        <w:t xml:space="preserve">February 17, 2026 | Version 1.0</w:t>
      </w:r>
    </w:p>
    <w:p>
      <w:pPr>
        <w:spacing w:before="60" w:after="120"/>
        <w:jc w:val="center"/>
      </w:pPr>
      <w:r>
        <w:rPr>
          <w:rFonts w:ascii="Arial" w:cs="Arial" w:eastAsia="Arial" w:hAnsi="Arial"/>
          <w:i/>
          <w:iCs/>
          <w:sz w:val="22"/>
          <w:szCs w:val="22"/>
        </w:rPr>
        <w:t xml:space="preserve">Document Classification: Prior Art Record</w:t>
      </w:r>
    </w:p>
    <w:p>
      <w:pPr>
        <w:sectPr>
          <w:pgSz w:w="12240" w:h="15840" w:orient="portrait"/>
          <w:pgMar w:top="1440" w:right="1440" w:bottom="1440" w:left="1440" w:header="708" w:footer="708" w:gutter="0"/>
          <w:pgNumType/>
          <w:docGrid w:linePitch="360"/>
        </w:sectPr>
      </w:pPr>
    </w:p>
    <w:p>
      <w:pPr>
        <w:pStyle w:val="Heading1"/>
        <w:spacing w:before="300" w:after="200"/>
      </w:pPr>
      <w:r>
        <w:rPr>
          <w:rFonts w:ascii="Arial" w:cs="Arial" w:eastAsia="Arial" w:hAnsi="Arial"/>
          <w:b/>
          <w:bCs/>
          <w:color w:val="1B3A5C"/>
          <w:sz w:val="32"/>
          <w:szCs w:val="32"/>
        </w:rPr>
        <w:t xml:space="preserve">1. Purpose and Scope of This Document</w:t>
      </w:r>
    </w:p>
    <w:p>
      <w:pPr>
        <w:spacing w:before="120" w:after="120"/>
        <w:jc w:val="left"/>
      </w:pPr>
      <w:r>
        <w:rPr>
          <w:rFonts w:ascii="Arial" w:cs="Arial" w:eastAsia="Arial" w:hAnsi="Arial"/>
          <w:sz w:val="24"/>
          <w:szCs w:val="24"/>
        </w:rPr>
        <w:t xml:space="preserve">This document establishes the publication priority, landscape search methodology, integration gap verification, and subsequent engagement timeline for the intellectual property portfolio comprising HAIA-RECCLIN (Human AI Assistant with Researcher, Editor, Coder, Calculator, Liaison, Ideator, and Navigator roles), GOPEL (Governance Orchestrator Policy Enforcement Layer), Checkpoint-Based Governance v4.2.1, the Factics methodology, and the Human Enhancement Quotient (HEQ) framework.</w:t>
      </w:r>
    </w:p>
    <w:p>
      <w:pPr>
        <w:spacing w:before="120" w:after="120"/>
        <w:jc w:val="left"/>
      </w:pPr>
      <w:r>
        <w:rPr>
          <w:rFonts w:ascii="Arial" w:cs="Arial" w:eastAsia="Arial" w:hAnsi="Arial"/>
          <w:sz w:val="24"/>
          <w:szCs w:val="24"/>
        </w:rPr>
        <w:t xml:space="preserve">The document serves three functions. First, it establishes a timestamped record of what was published, when, where, and in what form before any subsequent practitioners engaged with or produced work in the same architectural space. Second, it documents the structured landscape search that verified no comparable integrated architecture existed publicly at the time of publication. Third, it creates a chronological record of subsequent engagements, convergent claims, and derivative positioning that appeared after the publication dates established herein.</w:t>
      </w:r>
    </w:p>
    <w:p>
      <w:pPr>
        <w:spacing w:before="120" w:after="120"/>
        <w:jc w:val="left"/>
      </w:pPr>
      <w:r>
        <w:rPr>
          <w:rFonts w:ascii="Arial" w:cs="Arial" w:eastAsia="Arial" w:hAnsi="Arial"/>
          <w:sz w:val="24"/>
          <w:szCs w:val="24"/>
        </w:rPr>
        <w:t xml:space="preserve">This record is designed to be independently verifiable. Every publication listed includes a retrievable location (URL, ISBN, DOI, or repository path). Every landscape search term is documented. Every subsequent engagement is identified by name, date, and observable claim. Any party can reconstruct this timeline from public sources.</w:t>
      </w:r>
    </w:p>
    <w:p>
      <w:pPr>
        <w:pStyle w:val="Heading1"/>
        <w:spacing w:before="300" w:after="200"/>
      </w:pPr>
      <w:r>
        <w:rPr>
          <w:rFonts w:ascii="Arial" w:cs="Arial" w:eastAsia="Arial" w:hAnsi="Arial"/>
          <w:b/>
          <w:bCs/>
          <w:color w:val="1B3A5C"/>
          <w:sz w:val="32"/>
          <w:szCs w:val="32"/>
        </w:rPr>
        <w:t xml:space="preserve">2. Publication Timeline: Primary Works</w:t>
      </w:r>
    </w:p>
    <w:p>
      <w:pPr>
        <w:spacing w:before="120" w:after="120"/>
        <w:jc w:val="left"/>
      </w:pPr>
      <w:r>
        <w:rPr>
          <w:rFonts w:ascii="Arial" w:cs="Arial" w:eastAsia="Arial" w:hAnsi="Arial"/>
          <w:i/>
          <w:iCs/>
          <w:sz w:val="24"/>
          <w:szCs w:val="24"/>
        </w:rPr>
        <w:t xml:space="preserve">The following table documents the primary published works in chronological order, with retrievable locations and permanent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1800"/>
        <w:gridCol w:w="1760"/>
      </w:tblGrid>
      <w:t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Date</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Work</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Location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Permanent ID</w:t>
            </w:r>
          </w:p>
        </w:tc>
        <w:tc>
          <w:tcPr>
            <w:tcW w:type="dxa" w:w="17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Status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Nov 2012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Factics methodology (Facts + Tactics + KPIs) originated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Documented in operational records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Timestamped operational use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Prior art established</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Nov 2025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Governing AI: When Capability Exceeds Control, First Edition (204 pages, 96 checkpoints, 28 major decisions, 26 preserved dissents)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IngramSpark, Amazon, basilpuglisi.com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ISBN 9798349677687</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 in distribution</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2026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HAIA-RECCLIN Agent Architecture Specification v2.2, EU Compliance Version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GitHub, basilpuglisi.com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github.com/basilpuglisi/HAIA</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 versioned</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2026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HAIA-RECCLIN Academic Working Paper, EU Regulatory Compliance Edition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SSRN, basilpuglisi.com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SSRN submission</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2026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HAIA-RECCLIN CBG Audit Log Case Study v1.1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GitHub, basilpuglisi.com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Repository versioned</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2026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AI Provider Plurality Congressional Package (4 documents: Summary Flyer, Policy Brief, Legislative Framework, Technical Appendix v9)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GitHub, SSRN, basilpuglisi.com, LinkedIn, Facebook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Repository versioned, multi-platform distribution</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 in distribution to Congress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2026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HAIA-RECCLIN Multi-AI Framework Updated for 2026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basilpuglisi.com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Versioned</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2026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Checkpoint-Based Governance: A Constitution for Human-AI Collaboration v4.2.1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basilpuglisi.com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Versioned</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w:t>
            </w:r>
          </w:p>
        </w:tc>
      </w:tr>
    </w:tbl>
    <w:p>
      <w:pPr>
        <w:spacing w:before="120" w:after="120"/>
        <w:jc w:val="left"/>
      </w:pPr>
      <w:r>
        <w:rPr>
          <w:rFonts w:ascii="Arial" w:cs="Arial" w:eastAsia="Arial" w:hAnsi="Arial"/>
          <w:i/>
          <w:iCs/>
          <w:sz w:val="24"/>
          <w:szCs w:val="24"/>
        </w:rPr>
        <w:t xml:space="preserve">Every document listed above carries a unique version number. No document overwrites a prior version. This is a CBG audit requirement. The version history is itself an artifact of the governance methodology the documents describe.</w:t>
      </w:r>
    </w:p>
    <w:p>
      <w:pPr>
        <w:pStyle w:val="Heading1"/>
        <w:spacing w:before="300" w:after="200"/>
      </w:pPr>
      <w:r>
        <w:rPr>
          <w:rFonts w:ascii="Arial" w:cs="Arial" w:eastAsia="Arial" w:hAnsi="Arial"/>
          <w:b/>
          <w:bCs/>
          <w:color w:val="1B3A5C"/>
          <w:sz w:val="32"/>
          <w:szCs w:val="32"/>
        </w:rPr>
        <w:t xml:space="preserve">3. Core Intellectual Property Claims</w:t>
      </w:r>
    </w:p>
    <w:p>
      <w:pPr>
        <w:spacing w:before="120" w:after="120"/>
        <w:jc w:val="left"/>
      </w:pPr>
      <w:r>
        <w:rPr>
          <w:rFonts w:ascii="Arial" w:cs="Arial" w:eastAsia="Arial" w:hAnsi="Arial"/>
          <w:sz w:val="24"/>
          <w:szCs w:val="24"/>
        </w:rPr>
        <w:t xml:space="preserve">The following claims are established by the publications listed in Section 2. Each claim is documented with sufficient specificity for independent verification.</w:t>
      </w:r>
    </w:p>
    <w:p>
      <w:pPr>
        <w:pStyle w:val="Heading2"/>
        <w:spacing w:before="300" w:after="200"/>
      </w:pPr>
      <w:r>
        <w:rPr>
          <w:rFonts w:ascii="Arial" w:cs="Arial" w:eastAsia="Arial" w:hAnsi="Arial"/>
          <w:b/>
          <w:bCs/>
          <w:color w:val="1B3A5C"/>
          <w:sz w:val="28"/>
          <w:szCs w:val="28"/>
        </w:rPr>
        <w:t xml:space="preserve">3.1 Non-Cognitive Agent Design</w:t>
      </w:r>
    </w:p>
    <w:p>
      <w:pPr>
        <w:spacing w:before="120" w:after="120"/>
        <w:jc w:val="left"/>
      </w:pPr>
      <w:r>
        <w:rPr>
          <w:rFonts w:ascii="Arial" w:cs="Arial" w:eastAsia="Arial" w:hAnsi="Arial"/>
          <w:sz w:val="24"/>
          <w:szCs w:val="24"/>
        </w:rPr>
        <w:t xml:space="preserve">The GOPEL specification defines an autonomous agent that performs zero cognitive operations. Cognitive operations are defined as evaluation, ranking, weighting, prioritization, summarization, semantic transformation, and filtering. The agent performs seven deterministic operations and no others: Dispatch, Collect, Route, Log, Pause, Hash, and Report. The security rationale is that if the agent cannot evaluate content, it cannot be manipulated through adversarial inputs, prompt injection, or model poisoning. The term 'non-cognitive agent' is this specification's vocabulary. The Academic Working Paper documents that no pre-2025 literature uses this exact phrase, and the integration gap claim holds for both this terminology and functional equivalents ('deterministic orchestrator,' 'policy enforcement layer,' 'governance middleware').</w:t>
      </w:r>
    </w:p>
    <w:p>
      <w:pPr>
        <w:pStyle w:val="Heading2"/>
        <w:spacing w:before="300" w:after="200"/>
      </w:pPr>
      <w:r>
        <w:rPr>
          <w:rFonts w:ascii="Arial" w:cs="Arial" w:eastAsia="Arial" w:hAnsi="Arial"/>
          <w:b/>
          <w:bCs/>
          <w:color w:val="1B3A5C"/>
          <w:sz w:val="28"/>
          <w:szCs w:val="28"/>
        </w:rPr>
        <w:t xml:space="preserve">3.2 Mandatory Provider Plurality as Structural Governance</w:t>
      </w:r>
    </w:p>
    <w:p>
      <w:pPr>
        <w:spacing w:before="120" w:after="120"/>
        <w:jc w:val="left"/>
      </w:pPr>
      <w:r>
        <w:rPr>
          <w:rFonts w:ascii="Arial" w:cs="Arial" w:eastAsia="Arial" w:hAnsi="Arial"/>
          <w:sz w:val="24"/>
          <w:szCs w:val="24"/>
        </w:rPr>
        <w:t xml:space="preserve">Each task is dispatched to a minimum of three independent AI platforms: one anchor and at least two rotation pool members. The anchor-plus-rotation protocol distributes queries across platforms with different training datasets, surfacing inconsistencies attributable to training bias. The rotation schedule changes with each task to prevent two-platform echo chambers. Divergence between platforms is the governance signal. It happens at machine speed. The human remains at the authority layer.</w:t>
      </w:r>
    </w:p>
    <w:p>
      <w:pPr>
        <w:pStyle w:val="Heading2"/>
        <w:spacing w:before="300" w:after="200"/>
      </w:pPr>
      <w:r>
        <w:rPr>
          <w:rFonts w:ascii="Arial" w:cs="Arial" w:eastAsia="Arial" w:hAnsi="Arial"/>
          <w:b/>
          <w:bCs/>
          <w:color w:val="1B3A5C"/>
          <w:sz w:val="28"/>
          <w:szCs w:val="28"/>
        </w:rPr>
        <w:t xml:space="preserve">3.3 Checkpoint-Based Governance (CBG v4.2.1)</w:t>
      </w:r>
    </w:p>
    <w:p>
      <w:pPr>
        <w:spacing w:before="120" w:after="120"/>
        <w:jc w:val="left"/>
      </w:pPr>
      <w:r>
        <w:rPr>
          <w:rFonts w:ascii="Arial" w:cs="Arial" w:eastAsia="Arial" w:hAnsi="Arial"/>
          <w:sz w:val="24"/>
          <w:szCs w:val="24"/>
        </w:rPr>
        <w:t xml:space="preserve">The four-stage decision loop (BEFORE, DURING, AFTER, plus configurable checkpoint density) provides structured decision points where human arbitration is binding. Three operating models scale governance intensity: Model 1 (Responsible AI, factory quality, single endpoint checkpoint), Model 2 (AI Governance, handmade quality, checkpoint per functional role), and Model 3 (Manual Human AI Governance, maximum human cognitive load share). Mandatory escalation from Model 1 to Model 2 occurs when automation bias thresholds are breached (approval rate exceeding 95% or reversal rate below 2% for three consecutive observation windows).</w:t>
      </w:r>
    </w:p>
    <w:p>
      <w:pPr>
        <w:pStyle w:val="Heading2"/>
        <w:spacing w:before="300" w:after="200"/>
      </w:pPr>
      <w:r>
        <w:rPr>
          <w:rFonts w:ascii="Arial" w:cs="Arial" w:eastAsia="Arial" w:hAnsi="Arial"/>
          <w:b/>
          <w:bCs/>
          <w:color w:val="1B3A5C"/>
          <w:sz w:val="28"/>
          <w:szCs w:val="28"/>
        </w:rPr>
        <w:t xml:space="preserve">3.4 Append-Only Hash-Chained Audit Trail with Six Record Types</w:t>
      </w:r>
    </w:p>
    <w:p>
      <w:pPr>
        <w:spacing w:before="120" w:after="120"/>
        <w:jc w:val="left"/>
      </w:pPr>
      <w:r>
        <w:rPr>
          <w:rFonts w:ascii="Arial" w:cs="Arial" w:eastAsia="Arial" w:hAnsi="Arial"/>
          <w:sz w:val="24"/>
          <w:szCs w:val="24"/>
        </w:rPr>
        <w:t xml:space="preserve">Six record types (Request, Dispatch, Response, Navigation, Arbitration, Decision) capture the complete CBG four-stage decision loop. Each record includes SHA-256 cryptographic hash incorporating the previous entry's hash, creating a tamper-evident sequential chain. Records include ISO 8601 UTC timestamps with millisecond precision, authenticated arbiter identity binding, platform identifiers, RECCLIN role assignments, and operating model designation. The audit trail is a structured text file (JSON or Markdown), not a database. Platform-independent design means audit evidence does not depend on the system that produced it.</w:t>
      </w:r>
    </w:p>
    <w:p>
      <w:pPr>
        <w:pStyle w:val="Heading2"/>
        <w:spacing w:before="300" w:after="200"/>
      </w:pPr>
      <w:r>
        <w:rPr>
          <w:rFonts w:ascii="Arial" w:cs="Arial" w:eastAsia="Arial" w:hAnsi="Arial"/>
          <w:b/>
          <w:bCs/>
          <w:color w:val="1B3A5C"/>
          <w:sz w:val="28"/>
          <w:szCs w:val="28"/>
        </w:rPr>
        <w:t xml:space="preserve">3.5 Integration of Components into Single Architecture</w:t>
      </w:r>
    </w:p>
    <w:p>
      <w:pPr>
        <w:spacing w:before="120" w:after="120"/>
        <w:jc w:val="left"/>
      </w:pPr>
      <w:r>
        <w:rPr>
          <w:rFonts w:ascii="Arial" w:cs="Arial" w:eastAsia="Arial" w:hAnsi="Arial"/>
          <w:sz w:val="24"/>
          <w:szCs w:val="24"/>
        </w:rPr>
        <w:t xml:space="preserve">The primary intellectual property claim is not any individual component but their integration into a single coherent architecture: a non-cognitive agent that cannot be co-opted, mandatory multi-platform triangulation as structural governance, convergence detection through audit trail analysis, antitrust precedent applied to AI provider selection, automation bias detection with factory-to-handmade escalation at task endpoints, dual-layer security architecture addressing both AI and human adversaries, existential safeguard through provider plurality, and regulatory compliance (EU AI Act, NIST RMF, ISO 42001) achieved by architectural design rather than policy overlay.</w:t>
      </w:r>
    </w:p>
    <w:p>
      <w:r>
        <w:br w:type="page"/>
      </w:r>
    </w:p>
    <w:p>
      <w:pPr>
        <w:pStyle w:val="Heading1"/>
        <w:spacing w:before="300" w:after="200"/>
      </w:pPr>
      <w:r>
        <w:rPr>
          <w:rFonts w:ascii="Arial" w:cs="Arial" w:eastAsia="Arial" w:hAnsi="Arial"/>
          <w:b/>
          <w:bCs/>
          <w:color w:val="1B3A5C"/>
          <w:sz w:val="32"/>
          <w:szCs w:val="32"/>
        </w:rPr>
        <w:t xml:space="preserve">4. Landscape Search Methodology and Results</w:t>
      </w:r>
    </w:p>
    <w:p>
      <w:pPr>
        <w:spacing w:before="120" w:after="120"/>
        <w:jc w:val="left"/>
      </w:pPr>
      <w:r>
        <w:rPr>
          <w:rFonts w:ascii="Arial" w:cs="Arial" w:eastAsia="Arial" w:hAnsi="Arial"/>
          <w:sz w:val="24"/>
          <w:szCs w:val="24"/>
        </w:rPr>
        <w:t xml:space="preserve">Before publishing the GOPEL specification and the HAIA-RECCLIN Agent Architecture, a structured landscape search was conducted to determine whether any comparable integrated architecture existed publicly. The methodology, search terms, databases, platforms, inclusion/exclusion criteria, and results are documented in the published specifications and are summarized here as a consolidated prior art record.</w:t>
      </w:r>
    </w:p>
    <w:p>
      <w:pPr>
        <w:pStyle w:val="Heading2"/>
        <w:spacing w:before="300" w:after="200"/>
      </w:pPr>
      <w:r>
        <w:rPr>
          <w:rFonts w:ascii="Arial" w:cs="Arial" w:eastAsia="Arial" w:hAnsi="Arial"/>
          <w:b/>
          <w:bCs/>
          <w:color w:val="1B3A5C"/>
          <w:sz w:val="28"/>
          <w:szCs w:val="28"/>
        </w:rPr>
        <w:t xml:space="preserve">4.1 Academic Database Search</w:t>
      </w:r>
    </w:p>
    <w:p>
      <w:pPr>
        <w:spacing w:before="120" w:after="120"/>
        <w:jc w:val="left"/>
      </w:pPr>
      <w:r>
        <w:rPr>
          <w:rFonts w:ascii="Arial" w:cs="Arial" w:eastAsia="Arial" w:hAnsi="Arial"/>
          <w:sz w:val="24"/>
          <w:szCs w:val="24"/>
        </w:rPr>
        <w:t xml:space="preserve">Literature was surveyed across six academic databases: Google Scholar, ACM Digital Library, IEEE Xplore, SSRN, arXiv, and OpenReview.</w:t>
      </w:r>
    </w:p>
    <w:p>
      <w:pPr>
        <w:spacing w:before="120" w:after="120"/>
        <w:jc w:val="left"/>
      </w:pPr>
      <w:r>
        <w:rPr>
          <w:rFonts w:ascii="Arial" w:cs="Arial" w:eastAsia="Arial" w:hAnsi="Arial"/>
          <w:sz w:val="24"/>
          <w:szCs w:val="24"/>
        </w:rPr>
        <w:t xml:space="preserve">Search terms included the following combinations: 'multi-AI governance framework,' 'multi-agent governance architecture,' 'AI audit trail' combined with 'provider plurality,' 'non-cognitive agent' combined with 'AI governance,' 'automation bias detection' combined with 'multi-agent,' 'AI regulatory compliance framework,' 'multi-provider AI orchestration' combined with 'audit,' and 'checkpoint governance AI.'</w:t>
      </w:r>
    </w:p>
    <w:p>
      <w:pPr>
        <w:pStyle w:val="Heading2"/>
        <w:spacing w:before="300" w:after="200"/>
      </w:pPr>
      <w:r>
        <w:rPr>
          <w:rFonts w:ascii="Arial" w:cs="Arial" w:eastAsia="Arial" w:hAnsi="Arial"/>
          <w:b/>
          <w:bCs/>
          <w:color w:val="1B3A5C"/>
          <w:sz w:val="28"/>
          <w:szCs w:val="28"/>
        </w:rPr>
        <w:t xml:space="preserve">4.2 Multi-Platform AI Verification</w:t>
      </w:r>
    </w:p>
    <w:p>
      <w:pPr>
        <w:spacing w:before="120" w:after="120"/>
        <w:jc w:val="left"/>
      </w:pPr>
      <w:r>
        <w:rPr>
          <w:rFonts w:ascii="Arial" w:cs="Arial" w:eastAsia="Arial" w:hAnsi="Arial"/>
          <w:sz w:val="24"/>
          <w:szCs w:val="24"/>
        </w:rPr>
        <w:t xml:space="preserve">Following multi-platform verification across four independent AI platforms (Gemini, ChatGPT, DeepSeek, Kimi), additional search terms were incorporated: 'tamper-evident log' combined with 'hash-chained receipt,' 'deterministic orchestrator,' 'policy enforcement layer,' and 'governance middleware.' These captured cryptographic governance patterns and orchestration terminology that standard governance-focused searches missed.</w:t>
      </w:r>
    </w:p>
    <w:p>
      <w:pPr>
        <w:pStyle w:val="Heading2"/>
        <w:spacing w:before="300" w:after="200"/>
      </w:pPr>
      <w:r>
        <w:rPr>
          <w:rFonts w:ascii="Arial" w:cs="Arial" w:eastAsia="Arial" w:hAnsi="Arial"/>
          <w:b/>
          <w:bCs/>
          <w:color w:val="1B3A5C"/>
          <w:sz w:val="28"/>
          <w:szCs w:val="28"/>
        </w:rPr>
        <w:t xml:space="preserve">4.3 Ten-Platform Independent Search</w:t>
      </w:r>
    </w:p>
    <w:p>
      <w:pPr>
        <w:spacing w:before="120" w:after="120"/>
        <w:jc w:val="left"/>
      </w:pPr>
      <w:r>
        <w:rPr>
          <w:rFonts w:ascii="Arial" w:cs="Arial" w:eastAsia="Arial" w:hAnsi="Arial"/>
          <w:sz w:val="24"/>
          <w:szCs w:val="24"/>
        </w:rPr>
        <w:t xml:space="preserve">The integration gap claim was verified through independent search across ten AI platforms. Each platform was independently prompted to identify published work, frameworks, specifications, or architectures that integrate the components listed in Section 3.5. No platform received access to any other platform's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Platform</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Provider</w:t>
            </w:r>
          </w:p>
        </w:tc>
        <w:tc>
          <w:tcPr>
            <w:tcW w:type="dxa" w:w="5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Search Assignment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Claude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Anthropic</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Identify published work integrating non-cognitive agent + provider plurality + audit trail + automation bias detection + regulatory compliance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ChatGPT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OpenAI</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Identify published work integrating non-cognitive agent + provider plurality + audit trail + automation bias detection + regulatory compliance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Gemini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Google</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Identify published work integrating non-cognitive agent + provider plurality + audit trail + automation bias detection + regulatory compliance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Grok</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xAI</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Identify published work integrating non-cognitive agent + provider plurality + audit trail + automation bias detection + regulatory compliance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Perplexity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Perplexity</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Identify published work integrating non-cognitive agent + provider plurality + audit trail + automation bias detection + regulatory compliance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DeepSeek</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DeepSeek</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Identify published work integrating non-cognitive agent + provider plurality + audit trail + automation bias detection + regulatory compliance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Kimi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Moonshot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Identify published work integrating non-cognitive agent + provider plurality + audit trail + automation bias detection + regulatory compliance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Mistral</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Mistral</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Identify published work integrating non-cognitive agent + provider plurality + audit trail + automation bias detection + regulatory compliance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CoPilot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Microsoft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Identify published work integrating non-cognitive agent + provider plurality + audit trail + automation bias detection + regulatory compliance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Meta AI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Meta AI</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Identify published work integrating non-cognitive agent + provider plurality + audit trail + automation bias detection + regulatory compliance</w:t>
            </w:r>
          </w:p>
        </w:tc>
      </w:tr>
    </w:tbl>
    <w:p>
      <w:pPr>
        <w:spacing w:before="120" w:after="120"/>
        <w:jc w:val="left"/>
      </w:pPr>
      <w:r>
        <w:rPr>
          <w:rFonts w:ascii="Arial" w:cs="Arial" w:eastAsia="Arial" w:hAnsi="Arial"/>
          <w:b/>
          <w:bCs/>
          <w:sz w:val="24"/>
          <w:szCs w:val="24"/>
        </w:rPr>
        <w:t xml:space="preserve">Result: No platform identified a published architecture that integrates the components specified in Section 3.5. Each platform identified partial overlaps (individual components exist in isolation or partial combination in the literature), but none identified a single coherent architecture occupying the governance layer between quality management systems and multi-AI platform workflows.</w:t>
      </w:r>
    </w:p>
    <w:p>
      <w:pPr>
        <w:pStyle w:val="Heading2"/>
        <w:spacing w:before="300" w:after="200"/>
      </w:pPr>
      <w:r>
        <w:rPr>
          <w:rFonts w:ascii="Arial" w:cs="Arial" w:eastAsia="Arial" w:hAnsi="Arial"/>
          <w:b/>
          <w:bCs/>
          <w:color w:val="1B3A5C"/>
          <w:sz w:val="28"/>
          <w:szCs w:val="28"/>
        </w:rPr>
        <w:t xml:space="preserve">4.4 Web Search Engine Verification</w:t>
      </w:r>
    </w:p>
    <w:p>
      <w:pPr>
        <w:spacing w:before="120" w:after="120"/>
        <w:jc w:val="left"/>
      </w:pPr>
      <w:r>
        <w:rPr>
          <w:rFonts w:ascii="Arial" w:cs="Arial" w:eastAsia="Arial" w:hAnsi="Arial"/>
          <w:sz w:val="24"/>
          <w:szCs w:val="24"/>
        </w:rPr>
        <w:t xml:space="preserve">In addition to academic databases and AI platforms, landscape searches were conducted across Google Search, Bing, and Yandex using the same search term combinations. These searches targeted publicly indexed content including blog posts, white papers, corporate documentation, conference proceedings, and technical specifications that may not appear in academic indexes.</w:t>
      </w:r>
    </w:p>
    <w:p>
      <w:pPr>
        <w:pStyle w:val="Heading2"/>
        <w:spacing w:before="300" w:after="200"/>
      </w:pPr>
      <w:r>
        <w:rPr>
          <w:rFonts w:ascii="Arial" w:cs="Arial" w:eastAsia="Arial" w:hAnsi="Arial"/>
          <w:b/>
          <w:bCs/>
          <w:color w:val="1B3A5C"/>
          <w:sz w:val="28"/>
          <w:szCs w:val="28"/>
        </w:rPr>
        <w:t xml:space="preserve">4.5 Inclusion and Exclusion Criteria</w:t>
      </w:r>
    </w:p>
    <w:p>
      <w:pPr>
        <w:spacing w:before="120" w:after="120"/>
        <w:jc w:val="left"/>
      </w:pPr>
      <w:r>
        <w:rPr>
          <w:rFonts w:ascii="Arial" w:cs="Arial" w:eastAsia="Arial" w:hAnsi="Arial"/>
          <w:sz w:val="24"/>
          <w:szCs w:val="24"/>
        </w:rPr>
        <w:t xml:space="preserve">Inclusion criteria required that frameworks specify operational architecture (not principles alone), address multi-platform or multi-provider deployment (not single-model governance), and include at least two of the five integration components. Frameworks addressing only ethical principles, only single-model bias testing, or only task orchestration without governance accountability were excluded.</w:t>
      </w:r>
    </w:p>
    <w:p>
      <w:pPr>
        <w:pStyle w:val="Heading2"/>
        <w:spacing w:before="300" w:after="200"/>
      </w:pPr>
      <w:r>
        <w:rPr>
          <w:rFonts w:ascii="Arial" w:cs="Arial" w:eastAsia="Arial" w:hAnsi="Arial"/>
          <w:b/>
          <w:bCs/>
          <w:color w:val="1B3A5C"/>
          <w:sz w:val="28"/>
          <w:szCs w:val="28"/>
        </w:rPr>
        <w:t xml:space="preserve">4.6 Frameworks Identified and Assessed</w:t>
      </w:r>
    </w:p>
    <w:p>
      <w:pPr>
        <w:spacing w:before="120" w:after="120"/>
        <w:jc w:val="left"/>
      </w:pPr>
      <w:r>
        <w:rPr>
          <w:rFonts w:ascii="Arial" w:cs="Arial" w:eastAsia="Arial" w:hAnsi="Arial"/>
          <w:sz w:val="24"/>
          <w:szCs w:val="24"/>
        </w:rPr>
        <w:t xml:space="preserve">The landscape search identified the following frameworks as the closest published candidates. Each was assessed against the integration components. None met the integration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Framework</w:t>
            </w:r>
          </w:p>
        </w:tc>
        <w:tc>
          <w:tcPr>
            <w:tcW w:type="dxa" w:w="41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What It Addresses</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Integration Gap</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Governance-as-a-Service (GaaS), Gaurav et al. 2025</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Runtime policy enforcement, audit trails for multi-agent compliance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No provider plurality. No non-cognitive agent design.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Institutional AI, Pierucci et al. 2026</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Governance-graph approach to distributional AGI safety</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Policy layer only. No multi-platform rotation. No operational audit architecture.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Consensus-Driven Reasoning, Bandara et al. 2025</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Multi-model consensus, evidence-backed audit trails, responsible AI compliance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Uses cognitive Reasoning Agent. Not non-cognitive.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Team of Rivals, Vijayaraghavan et al. 2026</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Conflicting agent roles reaching consensus through message-passing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Critic agent exercises cognitive veto. Not non-cognitive.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Sonate Trust Protocol</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Multi-provider orchestration, cryptographic trust receipts, escalation governance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Governance layer performs evaluative judgments. Not non-cognitive.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LangGraph, AutoGen, CrewAI (Orchestration Frameworks)</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Multi-agent task orchestration, workflow routing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Task orchestration without governance accountability. Cognitive orchestrating layers.</w:t>
            </w:r>
          </w:p>
        </w:tc>
      </w:tr>
    </w:tbl>
    <w:p>
      <w:pPr>
        <w:spacing w:before="120" w:after="120"/>
        <w:jc w:val="left"/>
      </w:pPr>
      <w:r>
        <w:rPr>
          <w:rFonts w:ascii="Arial" w:cs="Arial" w:eastAsia="Arial" w:hAnsi="Arial"/>
          <w:b/>
          <w:bCs/>
          <w:sz w:val="24"/>
          <w:szCs w:val="24"/>
        </w:rPr>
        <w:t xml:space="preserve">Structural pattern identified: </w:t>
      </w:r>
      <w:r>
        <w:rPr>
          <w:rFonts w:ascii="Arial" w:cs="Arial" w:eastAsia="Arial" w:hAnsi="Arial"/>
          <w:sz w:val="24"/>
          <w:szCs w:val="24"/>
        </w:rPr>
        <w:t xml:space="preserve">Every framework that addresses the governance gap does so by adding cognition to the orchestrating layer (Reasoning Agents, Governance Engines, Critic Agents, Policy Evaluators). No published framework removes cognition from the orchestrating layer as a deliberate governance and security design choice. This architectural inversion, the non-cognitive agent, represents the primary differentiator.</w:t>
      </w:r>
    </w:p>
    <w:p>
      <w:pPr>
        <w:pStyle w:val="Heading2"/>
        <w:spacing w:before="300" w:after="200"/>
      </w:pPr>
      <w:r>
        <w:rPr>
          <w:rFonts w:ascii="Arial" w:cs="Arial" w:eastAsia="Arial" w:hAnsi="Arial"/>
          <w:b/>
          <w:bCs/>
          <w:color w:val="1B3A5C"/>
          <w:sz w:val="28"/>
          <w:szCs w:val="28"/>
        </w:rPr>
        <w:t xml:space="preserve">4.7 Limitations Acknowledged</w:t>
      </w:r>
    </w:p>
    <w:p>
      <w:pPr>
        <w:spacing w:before="120" w:after="120"/>
        <w:jc w:val="left"/>
      </w:pPr>
      <w:r>
        <w:rPr>
          <w:rFonts w:ascii="Arial" w:cs="Arial" w:eastAsia="Arial" w:hAnsi="Arial"/>
          <w:sz w:val="24"/>
          <w:szCs w:val="24"/>
        </w:rPr>
        <w:t xml:space="preserve">The author acknowledges that relevant work may exist in unpublished corporate implementations, classified government systems, enterprise vendor documentation not publicly indexed, or publications not captured by the surveyed databases and search terms. The author invites correction. The integration gap claim is bounded by the search methodology described above and holds for the specific combination of design choices documented in Section 3.5, not the general goals they serve.</w:t>
      </w:r>
    </w:p>
    <w:p>
      <w:r>
        <w:br w:type="page"/>
      </w:r>
    </w:p>
    <w:p>
      <w:pPr>
        <w:pStyle w:val="Heading1"/>
        <w:spacing w:before="300" w:after="200"/>
      </w:pPr>
      <w:r>
        <w:rPr>
          <w:rFonts w:ascii="Arial" w:cs="Arial" w:eastAsia="Arial" w:hAnsi="Arial"/>
          <w:b/>
          <w:bCs/>
          <w:color w:val="1B3A5C"/>
          <w:sz w:val="32"/>
          <w:szCs w:val="32"/>
        </w:rPr>
        <w:t xml:space="preserve">5. Subsequent Engagement and Convergent Claims Timeline</w:t>
      </w:r>
    </w:p>
    <w:p>
      <w:pPr>
        <w:spacing w:before="120" w:after="120"/>
        <w:jc w:val="left"/>
      </w:pPr>
      <w:r>
        <w:rPr>
          <w:rFonts w:ascii="Arial" w:cs="Arial" w:eastAsia="Arial" w:hAnsi="Arial"/>
          <w:sz w:val="24"/>
          <w:szCs w:val="24"/>
        </w:rPr>
        <w:t xml:space="preserve">The following table documents practitioners and entities who engaged with, referenced, or produced work in the same architectural space after the publication dates established in Section 2. This record is maintained for intellectual property provenance purposes. Inclusion in this table does not imply that any party has committed intellectual property infringement. It documents the chronological sequence of public engagement for the record.</w:t>
      </w:r>
    </w:p>
    <w:p>
      <w:pPr>
        <w:spacing w:before="120" w:after="120"/>
        <w:jc w:val="left"/>
      </w:pPr>
      <w:r>
        <w:rPr>
          <w:rFonts w:ascii="Arial" w:cs="Arial" w:eastAsia="Arial" w:hAnsi="Arial"/>
          <w:i/>
          <w:iCs/>
          <w:sz w:val="24"/>
          <w:szCs w:val="24"/>
        </w:rPr>
        <w:t xml:space="preserve">Entries are ordered chronologically by date of first observed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800"/>
        <w:gridCol w:w="2000"/>
        <w:gridCol w:w="1760"/>
      </w:tblGrid>
      <w:tr>
        <w:tc>
          <w:tcPr>
            <w:tcW w:type="dxa" w:w="11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Date</w:t>
            </w:r>
          </w:p>
        </w:tc>
        <w:tc>
          <w:tcPr>
            <w:tcW w:type="dxa" w:w="1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Entity/Individual</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Claim or Engagement</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Evidence Status</w:t>
            </w:r>
          </w:p>
        </w:tc>
        <w:tc>
          <w:tcPr>
            <w:tcW w:type="dxa" w:w="17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Relationship to Published Work</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Pre-Feb 2026</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AICOS OS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Multi-AI orchestration system claiming similar governance territory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Observed; monitoring for derivative positioning</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Overlapping claims identified post-publication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Pre-Feb 2026</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Joshua Lopez</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Patent filings in AI governance orchestration space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USPTO filings identified; monitoring</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Claims in similar architectural territory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17, 2026</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Mariusz Radoszkowski (MRCortex Industries)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SARVA and COSMOS frameworks: runtime governance layer binding authority to execution, structural refusal, evidence at moment of action, constraint propagation across multi-agent systems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LinkedIn comment on Puglisi post; no published specification identified</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Convergent principles; mapped to GOPEL operations in public reply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17, 2026</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Robert Bezdan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Proposed forensic reconstruction test for governance audit architecture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LinkedIn comment; independent validation question</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Test aligns with GOPEL audit trail design; demonstrated in public reply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17, 2026</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James Mackenzie (CAT framework, PAAK)</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Pre-execution authority binding, commit-time binding, admissibility layer. Three-exchange thread culminating in BEFORE/DURING/AFTER mapping to CBG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LinkedIn comment thread; no published specification for CAT or PAAK identified</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Progressively discovered CBG architecture already specified claims. Convergent terminology.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17, 2026</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Christopher Herndon (The Resonance Institute)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CASA (Constitutional AI Safety Architecture) Causal Proof Report v1.0. Deterministic pre-execution control plane, zero GPU/token/model calls, immutable audit trace, model-agnostic governance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 PDF attached to LinkedIn post; copyright 2025-2026; patent status unknown</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Convergent non-cognitive architecture at action-level gate. GOPEL operates at workflow orchestration level. Complementary layers.</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17, 2026</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Dean Chapman (Veritas Core / Veritas Automata)</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PCIe-level hardware governance enforcement, ZK-proofed human liveness checks, spacetime receipts. Claims patent pending (AU2026901051, 1053, 1054)</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LinkedIn comments only. No published specification. Web search found claims in Substack/LinkedIn comments but no technical documentation. Company website describes general enterprise AI services.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Hardware enforcement layer below GOPEL. Conceptually coherent but unverified. Evidence standard not met: proposed with assertions, not documented specification.</w:t>
            </w:r>
          </w:p>
        </w:tc>
      </w:tr>
    </w:tbl>
    <w:p>
      <w:pPr>
        <w:pStyle w:val="Heading1"/>
        <w:spacing w:before="300" w:after="200"/>
      </w:pPr>
      <w:r>
        <w:rPr>
          <w:rFonts w:ascii="Arial" w:cs="Arial" w:eastAsia="Arial" w:hAnsi="Arial"/>
          <w:b/>
          <w:bCs/>
          <w:color w:val="1B3A5C"/>
          <w:sz w:val="32"/>
          <w:szCs w:val="32"/>
        </w:rPr>
        <w:t xml:space="preserve">6. Evidence Standard Applied</w:t>
      </w:r>
    </w:p>
    <w:p>
      <w:pPr>
        <w:spacing w:before="120" w:after="120"/>
        <w:jc w:val="left"/>
      </w:pPr>
      <w:r>
        <w:rPr>
          <w:rFonts w:ascii="Arial" w:cs="Arial" w:eastAsia="Arial" w:hAnsi="Arial"/>
          <w:sz w:val="24"/>
          <w:szCs w:val="24"/>
        </w:rPr>
        <w:t xml:space="preserve">This document applies the same three-tier evidence discipline used throughout the Congressional package and all HAIA-RECCLIN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Tier</w:t>
            </w:r>
          </w:p>
        </w:tc>
        <w:tc>
          <w:tcPr>
            <w:tcW w:type="dxa" w:w="37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Definition</w:t>
            </w:r>
          </w:p>
        </w:tc>
        <w:tc>
          <w:tcPr>
            <w:tcW w:type="dxa" w:w="37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Standard of Proof</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b/>
                <w:bCs/>
                <w:sz w:val="22"/>
                <w:szCs w:val="22"/>
              </w:rPr>
              <w:t xml:space="preserve">Tier 1: Proven</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Established by others through peer-reviewed research, replicated findings, or regulatory acceptance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 independently verified, citeable with DOI or equivalent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b/>
                <w:bCs/>
                <w:sz w:val="22"/>
                <w:szCs w:val="22"/>
              </w:rPr>
              <w:t xml:space="preserve">Tier 2: Working Concept</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Built and operated with documented operational metrics from production use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 specification, operational evidence, retrievable documentation with version history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b/>
                <w:bCs/>
                <w:sz w:val="22"/>
                <w:szCs w:val="22"/>
              </w:rPr>
              <w:t xml:space="preserve">Tier 3: Proposed</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Specified for development but not yet built as operational software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Published specification describing architecture, clearly labeled as proposed</w:t>
            </w:r>
          </w:p>
        </w:tc>
      </w:tr>
    </w:tbl>
    <w:p>
      <w:pPr>
        <w:spacing w:before="120" w:after="120"/>
        <w:jc w:val="left"/>
      </w:pPr>
      <w:r>
        <w:rPr>
          <w:rFonts w:ascii="Arial" w:cs="Arial" w:eastAsia="Arial" w:hAnsi="Arial"/>
          <w:sz w:val="24"/>
          <w:szCs w:val="24"/>
        </w:rPr>
        <w:t xml:space="preserve">Comments on LinkedIn, Substack, blog posts, and forum threads do not meet any tier of this evidence standard unless they contain functional descriptions, framework architecture, operational specifics, and integration points at a level of detail comparable to what a patent filing requires. A comment asserting 'we built X that does Y' without published functional detail is an assertion, not documentation. The level of specificity that a patent filing demands exists for a reason: it forces the claimant to describe how something works, not just that it exists conceptually.</w:t>
      </w:r>
    </w:p>
    <w:p>
      <w:pPr>
        <w:spacing w:before="120" w:after="120"/>
        <w:jc w:val="left"/>
      </w:pPr>
      <w:r>
        <w:rPr>
          <w:rFonts w:ascii="Arial" w:cs="Arial" w:eastAsia="Arial" w:hAnsi="Arial"/>
          <w:sz w:val="24"/>
          <w:szCs w:val="24"/>
        </w:rPr>
        <w:t xml:space="preserve">Publication means a document with a version number, a date, a retrievable location, and enough specificity that someone else can evaluate the claims independently. The GOPEL specification, the HAIA-RECCLIN Agent Architecture, and all supporting documents meet this standard. Each is published on GitHub with version control, on SSRN with academic indexing, and on basilpuglisi.com with public access. The published book carries ISBN 9798349677687.</w:t>
      </w:r>
    </w:p>
    <w:p>
      <w:pPr>
        <w:pStyle w:val="Heading1"/>
        <w:spacing w:before="300" w:after="200"/>
      </w:pPr>
      <w:r>
        <w:rPr>
          <w:rFonts w:ascii="Arial" w:cs="Arial" w:eastAsia="Arial" w:hAnsi="Arial"/>
          <w:b/>
          <w:bCs/>
          <w:color w:val="1B3A5C"/>
          <w:sz w:val="32"/>
          <w:szCs w:val="32"/>
        </w:rPr>
        <w:t xml:space="preserve">7. Why Published Prior Art with Documented Landscape Search Exceeds Patent Protection</w:t>
      </w:r>
    </w:p>
    <w:p>
      <w:pPr>
        <w:spacing w:before="120" w:after="120"/>
        <w:jc w:val="left"/>
      </w:pPr>
      <w:r>
        <w:rPr>
          <w:rFonts w:ascii="Arial" w:cs="Arial" w:eastAsia="Arial" w:hAnsi="Arial"/>
          <w:sz w:val="24"/>
          <w:szCs w:val="24"/>
        </w:rPr>
        <w:t xml:space="preserve">A patent protects a claim. A publication establishes the record that the claim existed publicly with a timestamp no one can dispute. A publication with a documented landscape search does more: it proves not only that the work was published but that the publisher actively searched for prior art, documented the search methodology, published the search results, and invited correction.</w:t>
      </w:r>
    </w:p>
    <w:p>
      <w:pPr>
        <w:spacing w:before="120" w:after="120"/>
        <w:jc w:val="left"/>
      </w:pPr>
      <w:r>
        <w:rPr>
          <w:rFonts w:ascii="Arial" w:cs="Arial" w:eastAsia="Arial" w:hAnsi="Arial"/>
          <w:sz w:val="24"/>
          <w:szCs w:val="24"/>
        </w:rPr>
        <w:t xml:space="preserve">The HAIA-RECCLIN landscape search documented in Sections 4.1 through 4.6 covers six academic databases, ten independent AI platforms, three web search engines, and a structured inclusion/exclusion methodology. The search was itself conducted under Checkpoint-Based Governance, with the CBG Audit Log Case Study documenting the governance events that produced the integration gap claim (Milestone M6: four platforms commissioned for independent verification; Milestone M7: Kimi challenged the claim as self-serving; human arbiter evaluated and responded).</w:t>
      </w:r>
    </w:p>
    <w:p>
      <w:pPr>
        <w:spacing w:before="120" w:after="120"/>
        <w:jc w:val="left"/>
      </w:pPr>
      <w:r>
        <w:rPr>
          <w:rFonts w:ascii="Arial" w:cs="Arial" w:eastAsia="Arial" w:hAnsi="Arial"/>
          <w:sz w:val="24"/>
          <w:szCs w:val="24"/>
        </w:rPr>
        <w:t xml:space="preserve">This means the prior art record includes not just the search but the governed process that produced the search, the adversarial challenge to the search's conclusions, and the human arbitration that resolved the challenge. A patent filing contains none of this. A patent claims originality. This record proves it.</w:t>
      </w:r>
    </w:p>
    <w:p>
      <w:pPr>
        <w:pStyle w:val="Heading1"/>
        <w:spacing w:before="300" w:after="200"/>
      </w:pPr>
      <w:r>
        <w:rPr>
          <w:rFonts w:ascii="Arial" w:cs="Arial" w:eastAsia="Arial" w:hAnsi="Arial"/>
          <w:b/>
          <w:bCs/>
          <w:color w:val="1B3A5C"/>
          <w:sz w:val="32"/>
          <w:szCs w:val="32"/>
        </w:rPr>
        <w:t xml:space="preserve">8. Document Maintenance Protocol</w:t>
      </w:r>
    </w:p>
    <w:p>
      <w:pPr>
        <w:spacing w:before="120" w:after="120"/>
        <w:jc w:val="left"/>
      </w:pPr>
      <w:r>
        <w:rPr>
          <w:rFonts w:ascii="Arial" w:cs="Arial" w:eastAsia="Arial" w:hAnsi="Arial"/>
          <w:sz w:val="24"/>
          <w:szCs w:val="24"/>
        </w:rPr>
        <w:t xml:space="preserve">This document is a living record. New entries to the Subsequent Engagement Timeline (Section 5) are added as new engagements are observed. Each revision produces a uniquely versioned filename per CBG audit requirements. No prior version is overwritten.</w:t>
      </w:r>
    </w:p>
    <w:p>
      <w:pPr>
        <w:spacing w:before="120" w:after="120"/>
        <w:jc w:val="left"/>
      </w:pPr>
      <w:r>
        <w:rPr>
          <w:rFonts w:ascii="Arial" w:cs="Arial" w:eastAsia="Arial" w:hAnsi="Arial"/>
          <w:sz w:val="24"/>
          <w:szCs w:val="24"/>
        </w:rPr>
        <w:t xml:space="preserve">The author maintains the right to update this document with additional landscape search results, publication records, and engagement observations as they occur. Each update carries a new version number and date.</w:t>
      </w:r>
    </w:p>
    <w:p>
      <w:pPr>
        <w:pStyle w:val="Heading1"/>
        <w:spacing w:before="300" w:after="200"/>
      </w:pPr>
      <w:r>
        <w:rPr>
          <w:rFonts w:ascii="Arial" w:cs="Arial" w:eastAsia="Arial" w:hAnsi="Arial"/>
          <w:b/>
          <w:bCs/>
          <w:color w:val="1B3A5C"/>
          <w:sz w:val="32"/>
          <w:szCs w:val="32"/>
        </w:rPr>
        <w:t xml:space="preserve">9. Author Certification</w:t>
      </w:r>
    </w:p>
    <w:p>
      <w:pPr>
        <w:spacing w:before="120" w:after="120"/>
        <w:jc w:val="left"/>
      </w:pPr>
      <w:r>
        <w:rPr>
          <w:rFonts w:ascii="Arial" w:cs="Arial" w:eastAsia="Arial" w:hAnsi="Arial"/>
          <w:sz w:val="24"/>
          <w:szCs w:val="24"/>
        </w:rPr>
        <w:t xml:space="preserve">The undersigned certifies that the publication dates, search methodology, and engagement timeline documented in this record are accurate to the best of the author's knowledge. All publications listed are publicly retrievable at the locations specified. The landscape search was conducted as described. The subsequent engagement timeline reflects publicly observable events.</w:t>
      </w:r>
    </w:p>
    <w:p>
      <w:pPr>
        <w:spacing w:before="400" w:after="120"/>
        <w:jc w:val="left"/>
      </w:pPr>
      <w:r>
        <w:rPr>
          <w:rFonts w:ascii="Arial" w:cs="Arial" w:eastAsia="Arial" w:hAnsi="Arial"/>
          <w:sz w:val="24"/>
          <w:szCs w:val="24"/>
        </w:rPr>
        <w:t xml:space="preserve"/>
      </w:r>
    </w:p>
    <w:p>
      <w:pPr>
        <w:spacing w:before="120" w:after="120"/>
        <w:jc w:val="left"/>
      </w:pPr>
      <w:r>
        <w:rPr>
          <w:rFonts w:ascii="Arial" w:cs="Arial" w:eastAsia="Arial" w:hAnsi="Arial"/>
          <w:b/>
          <w:bCs/>
          <w:sz w:val="24"/>
          <w:szCs w:val="24"/>
        </w:rPr>
        <w:t xml:space="preserve">Basil C. Puglisi, MPA</w:t>
      </w:r>
    </w:p>
    <w:p>
      <w:pPr>
        <w:spacing w:before="120" w:after="120"/>
        <w:jc w:val="left"/>
      </w:pPr>
      <w:r>
        <w:rPr>
          <w:rFonts w:ascii="Arial" w:cs="Arial" w:eastAsia="Arial" w:hAnsi="Arial"/>
          <w:sz w:val="24"/>
          <w:szCs w:val="24"/>
        </w:rPr>
        <w:t xml:space="preserve">Human-AI Collaboration Strategist</w:t>
      </w:r>
    </w:p>
    <w:p>
      <w:pPr>
        <w:spacing w:before="120" w:after="120"/>
        <w:jc w:val="left"/>
      </w:pPr>
      <w:r>
        <w:rPr>
          <w:rFonts w:ascii="Arial" w:cs="Arial" w:eastAsia="Arial" w:hAnsi="Arial"/>
          <w:sz w:val="24"/>
          <w:szCs w:val="24"/>
        </w:rPr>
        <w:t xml:space="preserve">February 17, 2026</w:t>
      </w:r>
    </w:p>
    <w:p>
      <w:pPr>
        <w:spacing w:before="120" w:after="120"/>
        <w:jc w:val="left"/>
      </w:pPr>
      <w:r>
        <w:rPr>
          <w:rFonts w:ascii="Arial" w:cs="Arial" w:eastAsia="Arial" w:hAnsi="Arial"/>
          <w:sz w:val="24"/>
          <w:szCs w:val="24"/>
        </w:rPr>
        <w:t xml:space="preserve">basilpuglisi.com | me@basilpuglisi.com | github.com/basilpuglisi/HAIA</w:t>
      </w:r>
    </w:p>
    <w:p>
      <w:pPr>
        <w:spacing w:before="400" w:after="120"/>
        <w:jc w:val="left"/>
      </w:pPr>
      <w:r>
        <w:rPr>
          <w:rFonts w:ascii="Arial" w:cs="Arial" w:eastAsia="Arial" w:hAnsi="Arial"/>
          <w:sz w:val="24"/>
          <w:szCs w:val="24"/>
        </w:rPr>
        <w:t xml:space="preserve"/>
      </w:r>
    </w:p>
    <w:p>
      <w:r>
        <w:br w:type="page"/>
      </w:r>
    </w:p>
    <w:p>
      <w:pPr>
        <w:pStyle w:val="Heading1"/>
        <w:spacing w:before="300" w:after="200"/>
      </w:pPr>
      <w:r>
        <w:rPr>
          <w:rFonts w:ascii="Arial" w:cs="Arial" w:eastAsia="Arial" w:hAnsi="Arial"/>
          <w:b/>
          <w:bCs/>
          <w:color w:val="1B3A5C"/>
          <w:sz w:val="32"/>
          <w:szCs w:val="32"/>
        </w:rPr>
        <w:t xml:space="preserve">Appendix A: Governed Development Audit Trail References</w:t>
      </w:r>
    </w:p>
    <w:p>
      <w:pPr>
        <w:spacing w:before="120" w:after="120"/>
        <w:jc w:val="left"/>
      </w:pPr>
      <w:r>
        <w:rPr>
          <w:rFonts w:ascii="Arial" w:cs="Arial" w:eastAsia="Arial" w:hAnsi="Arial"/>
          <w:sz w:val="24"/>
          <w:szCs w:val="24"/>
        </w:rPr>
        <w:t xml:space="preserve">The publications listed in Section 2 were produced through Checkpoint-Based Governance. The raw audit trail of that governed development process exists in dated conversation records, each retrievable and verifiable. This appendix documents those records and cross-references the companion document that provides full evidentiary detail.</w:t>
      </w:r>
    </w:p>
    <w:p>
      <w:pPr>
        <w:pStyle w:val="Heading2"/>
        <w:spacing w:before="300" w:after="200"/>
      </w:pPr>
      <w:r>
        <w:rPr>
          <w:rFonts w:ascii="Arial" w:cs="Arial" w:eastAsia="Arial" w:hAnsi="Arial"/>
          <w:b/>
          <w:bCs/>
          <w:color w:val="1B3A5C"/>
          <w:sz w:val="28"/>
          <w:szCs w:val="28"/>
        </w:rPr>
        <w:t xml:space="preserve">A.1 Companion Document</w:t>
      </w:r>
    </w:p>
    <w:p>
      <w:pPr>
        <w:spacing w:before="120" w:after="120"/>
        <w:jc w:val="left"/>
      </w:pPr>
      <w:r>
        <w:rPr>
          <w:rFonts w:ascii="Arial" w:cs="Arial" w:eastAsia="Arial" w:hAnsi="Arial"/>
          <w:sz w:val="24"/>
          <w:szCs w:val="24"/>
        </w:rPr>
        <w:t xml:space="preserve">The </w:t>
      </w:r>
      <w:r>
        <w:rPr>
          <w:rFonts w:ascii="Arial" w:cs="Arial" w:eastAsia="Arial" w:hAnsi="Arial"/>
          <w:b/>
          <w:bCs/>
          <w:sz w:val="24"/>
          <w:szCs w:val="24"/>
        </w:rPr>
        <w:t xml:space="preserve">HAIA-RECCLIN Agent Architecture Integration Gap Evidence Record v1.0</w:t>
      </w:r>
      <w:r>
        <w:rPr>
          <w:rFonts w:ascii="Arial" w:cs="Arial" w:eastAsia="Arial" w:hAnsi="Arial"/>
          <w:sz w:val="24"/>
          <w:szCs w:val="24"/>
        </w:rPr>
        <w:t xml:space="preserve"> (February 17, 2026) provides the detailed evidentiary record for the integration gap claim specifically, including the full governed process, platform-by-platform search results, adversarial challenges, fabrication detection, and human arbitration decisions with rationale. That document and this one are companion records. This document establishes the broad IP timeline and landscape search. The Integration Gap Evidence Record goes deep on the specific claim that no published architecture occupies the same governance layer.</w:t>
      </w:r>
    </w:p>
    <w:p>
      <w:pPr>
        <w:pStyle w:val="Heading2"/>
        <w:spacing w:before="300" w:after="200"/>
      </w:pPr>
      <w:r>
        <w:rPr>
          <w:rFonts w:ascii="Arial" w:cs="Arial" w:eastAsia="Arial" w:hAnsi="Arial"/>
          <w:b/>
          <w:bCs/>
          <w:color w:val="1B3A5C"/>
          <w:sz w:val="28"/>
          <w:szCs w:val="28"/>
        </w:rPr>
        <w:t xml:space="preserve">A.2 Conversation Record Inventory</w:t>
      </w:r>
    </w:p>
    <w:p>
      <w:pPr>
        <w:spacing w:before="120" w:after="120"/>
        <w:jc w:val="left"/>
      </w:pPr>
      <w:r>
        <w:rPr>
          <w:rFonts w:ascii="Arial" w:cs="Arial" w:eastAsia="Arial" w:hAnsi="Arial"/>
          <w:sz w:val="24"/>
          <w:szCs w:val="24"/>
        </w:rPr>
        <w:t xml:space="preserve">The following conversation records constitute the raw audit trail from which the published specifications, academic working paper, and case study were produced. Each is dated, retrievable within the Claude (Anthropic) platform, and carries the full exchange history including human arbitration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Chat Reference</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Date</w:t>
            </w:r>
          </w:p>
        </w:tc>
        <w:tc>
          <w:tcPr>
            <w:tcW w:type="dxa" w:w="67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Content and Governance Events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382be44b</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4, 2026</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Main build session. Contains: v1.6 analysis, 30-point EU compliance gap mapping, v2.0 through v2.2 EU Compliance Version build, integration gap identification and reframe, ten-platform search methodology, stack-layer argument, Perplexity hallucination (six fabricated sections caught by five other platforms), Kimi verification and challenge, DeepSeek threshold discrepancy (2% vs 5% reversal rate caught by no other platform), six-platform convergence on structural additions.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be466b67</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4, 2026</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Annex IV Template development closing the Article 11 technical documentation gap identified in the compliance mapping.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f3c6943d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5, 2026</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Model 1 architecture clarification: convergence as constraint mechanism, not CBG except at final output. Distinguished factory-quality (Model 1) from handmade-quality (Model 2) governance approaches.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bd6f95db</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6, 2026</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Case study development with scope correction and contamination removal. Governed audit trail of the search itself, including Kimi challenge at Milestones M6 and M7 where the integration gap claim was tested as potentially self-serving.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5b1453ce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6, 2026</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Case study rebuild: 21 CBG events documented (7 single-AI override, 14 multi-AI governance events), exclusively February 2026 sourced, Agent Architecture project scope only. Academic paper formal search methodology (Google Scholar, ACM Digital Library, IEEE Xplore, SSRN, arXiv, OpenReview). Table 1 comparing six published frameworks against five integration components. Multi-platform verification across four additional platforms for terminology expansion.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09a27def</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7, 2026</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AICOS competitive analysis. Web search across six queries confirming zero AICOS searchable presence at time of integration gap search. GOPEL specification mapped against AICOS claims. Confirmed AICOS had no published specification that would challenge the integration gap claim.</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263414e2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Feb 8, 2026</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Arial" w:cs="Arial" w:eastAsia="Arial" w:hAnsi="Arial"/>
                <w:sz w:val="22"/>
                <w:szCs w:val="22"/>
              </w:rPr>
              <w:t xml:space="preserve">AICOS DOI integration analysis. February 8 post mapping directly to published Agent Architecture sections (immutable core to SHA-256 hash chain, decision spine to three operating models, constitutional framework to CBG). LinkedIn profile visit documentation. Continued absence of verifiable AICOS technical documentation.</w:t>
            </w:r>
          </w:p>
        </w:tc>
      </w:tr>
    </w:tbl>
    <w:p>
      <w:pPr>
        <w:pStyle w:val="Heading2"/>
        <w:spacing w:before="300" w:after="200"/>
      </w:pPr>
      <w:r>
        <w:rPr>
          <w:rFonts w:ascii="Arial" w:cs="Arial" w:eastAsia="Arial" w:hAnsi="Arial"/>
          <w:b/>
          <w:bCs/>
          <w:color w:val="1B3A5C"/>
          <w:sz w:val="28"/>
          <w:szCs w:val="28"/>
        </w:rPr>
        <w:t xml:space="preserve">A.3 What the Conversation Records Prove</w:t>
      </w:r>
    </w:p>
    <w:p>
      <w:pPr>
        <w:spacing w:before="120" w:after="120"/>
        <w:jc w:val="left"/>
      </w:pPr>
      <w:r>
        <w:rPr>
          <w:rFonts w:ascii="Arial" w:cs="Arial" w:eastAsia="Arial" w:hAnsi="Arial"/>
          <w:sz w:val="24"/>
          <w:szCs w:val="24"/>
        </w:rPr>
        <w:t xml:space="preserve">These records establish four facts relevant to intellectual property provenance.</w:t>
      </w:r>
    </w:p>
    <w:p>
      <w:pPr>
        <w:spacing w:before="120" w:after="120"/>
        <w:jc w:val="left"/>
      </w:pPr>
      <w:r>
        <w:rPr>
          <w:rFonts w:ascii="Arial" w:cs="Arial" w:eastAsia="Arial" w:hAnsi="Arial"/>
          <w:b/>
          <w:bCs/>
          <w:sz w:val="24"/>
          <w:szCs w:val="24"/>
        </w:rPr>
        <w:t xml:space="preserve">First, the development process is dated and sequential. </w:t>
      </w:r>
      <w:r>
        <w:rPr>
          <w:rFonts w:ascii="Arial" w:cs="Arial" w:eastAsia="Arial" w:hAnsi="Arial"/>
          <w:sz w:val="24"/>
          <w:szCs w:val="24"/>
        </w:rPr>
        <w:t xml:space="preserve">Each conversation carries a platform-generated timestamp that the author cannot modify. The progression from v1.0 through v2.2, the integration gap identification, the landscape search, and the publication on GitHub all have verifiable dates.</w:t>
      </w:r>
    </w:p>
    <w:p>
      <w:pPr>
        <w:spacing w:before="120" w:after="120"/>
        <w:jc w:val="left"/>
      </w:pPr>
      <w:r>
        <w:rPr>
          <w:rFonts w:ascii="Arial" w:cs="Arial" w:eastAsia="Arial" w:hAnsi="Arial"/>
          <w:b/>
          <w:bCs/>
          <w:sz w:val="24"/>
          <w:szCs w:val="24"/>
        </w:rPr>
        <w:t xml:space="preserve">Second, the governance methodology was applied to its own development. </w:t>
      </w:r>
      <w:r>
        <w:rPr>
          <w:rFonts w:ascii="Arial" w:cs="Arial" w:eastAsia="Arial" w:hAnsi="Arial"/>
          <w:sz w:val="24"/>
          <w:szCs w:val="24"/>
        </w:rPr>
        <w:t xml:space="preserve">The specification was built using the process it describes. Multi-platform review, dissent preservation, human arbitration at every checkpoint. The CBG Audit Log Case Study documents 21 governance events from this process, including seven instances where the human arbiter overrode single-AI output.</w:t>
      </w:r>
    </w:p>
    <w:p>
      <w:pPr>
        <w:spacing w:before="120" w:after="120"/>
        <w:jc w:val="left"/>
      </w:pPr>
      <w:r>
        <w:rPr>
          <w:rFonts w:ascii="Arial" w:cs="Arial" w:eastAsia="Arial" w:hAnsi="Arial"/>
          <w:b/>
          <w:bCs/>
          <w:sz w:val="24"/>
          <w:szCs w:val="24"/>
        </w:rPr>
        <w:t xml:space="preserve">Third, adversarial challenges were preserved, not suppressed. </w:t>
      </w:r>
      <w:r>
        <w:rPr>
          <w:rFonts w:ascii="Arial" w:cs="Arial" w:eastAsia="Arial" w:hAnsi="Arial"/>
          <w:sz w:val="24"/>
          <w:szCs w:val="24"/>
        </w:rPr>
        <w:t xml:space="preserve">Kimi challenged the integration gap claim as self-serving (Milestone M7). Perplexity fabricated six specification sections (Milestone M12). DeepSeek found a threshold inconsistency no other platform caught (Milestone M11). Each challenge was documented, evaluated by the human arbiter, and either accepted or rejected with rationale. The challenges and the arbiter's decisions are in the published record.</w:t>
      </w:r>
    </w:p>
    <w:p>
      <w:pPr>
        <w:spacing w:before="120" w:after="120"/>
        <w:jc w:val="left"/>
      </w:pPr>
      <w:r>
        <w:rPr>
          <w:rFonts w:ascii="Arial" w:cs="Arial" w:eastAsia="Arial" w:hAnsi="Arial"/>
          <w:b/>
          <w:bCs/>
          <w:sz w:val="24"/>
          <w:szCs w:val="24"/>
        </w:rPr>
        <w:t xml:space="preserve">Fourth, competitive claims appeared after publication, not before. </w:t>
      </w:r>
      <w:r>
        <w:rPr>
          <w:rFonts w:ascii="Arial" w:cs="Arial" w:eastAsia="Arial" w:hAnsi="Arial"/>
          <w:sz w:val="24"/>
          <w:szCs w:val="24"/>
        </w:rPr>
        <w:t xml:space="preserve">The AICOS analysis (Chat 09a27def, February 7, 2026) confirms that AICOS had zero searchable presence when the integration gap search was conducted. The first verifiable AICOS document appeared on Zenodo on February 5, 2026, one day after the HAIA-RECCLIN specification was published on GitHub. Subsequent engagements documented in Section 5 of this document (Mariusz Radoszkowski, Robert Bezdan, James Mackenzie, Christopher Herndon, Dean Chapman) all occurred on February 17, 2026, after every primary publication was in the public record.</w:t>
      </w:r>
    </w:p>
    <w:p>
      <w:pPr>
        <w:pStyle w:val="Heading2"/>
        <w:spacing w:before="300" w:after="200"/>
      </w:pPr>
      <w:r>
        <w:rPr>
          <w:rFonts w:ascii="Arial" w:cs="Arial" w:eastAsia="Arial" w:hAnsi="Arial"/>
          <w:b/>
          <w:bCs/>
          <w:color w:val="1B3A5C"/>
          <w:sz w:val="28"/>
          <w:szCs w:val="28"/>
        </w:rPr>
        <w:t xml:space="preserve">A.4 Maintenance</w:t>
      </w:r>
    </w:p>
    <w:p>
      <w:pPr>
        <w:spacing w:before="120" w:after="120"/>
        <w:jc w:val="left"/>
      </w:pPr>
      <w:r>
        <w:rPr>
          <w:rFonts w:ascii="Arial" w:cs="Arial" w:eastAsia="Arial" w:hAnsi="Arial"/>
          <w:sz w:val="24"/>
          <w:szCs w:val="24"/>
        </w:rPr>
        <w:t xml:space="preserve">As new governed conversations produce material relevant to the IP timeline (additional competitive analyses, landscape search updates, engagement responses), their chat references will be added to this appendix in subsequent versions of this document.</w:t>
      </w:r>
    </w:p>
    <w:p>
      <w:pPr>
        <w:spacing w:before="400" w:after="120"/>
        <w:jc w:val="left"/>
      </w:pPr>
      <w:r>
        <w:rPr>
          <w:rFonts w:ascii="Arial" w:cs="Arial" w:eastAsia="Arial" w:hAnsi="Arial"/>
          <w:sz w:val="24"/>
          <w:szCs w:val="24"/>
        </w:rPr>
        <w:t xml:space="preserve"/>
      </w:r>
    </w:p>
    <w:p>
      <w:pPr>
        <w:pBdr>
          <w:bottom w:val="single" w:color="1B3A5C" w:sz="6" w:space="1"/>
        </w:pBdr>
        <w:spacing w:before="200" w:after="200"/>
      </w:pPr>
    </w:p>
    <w:p>
      <w:pPr>
        <w:spacing w:before="120" w:after="120"/>
        <w:jc w:val="left"/>
      </w:pPr>
      <w:r>
        <w:rPr>
          <w:rFonts w:ascii="Arial" w:cs="Arial" w:eastAsia="Arial" w:hAnsi="Arial"/>
          <w:i/>
          <w:iCs/>
          <w:sz w:val="20"/>
          <w:szCs w:val="20"/>
        </w:rPr>
        <w:t xml:space="preserve">This document was produced through human-AI collaboration under Checkpoint-Based Governance. Claude (Anthropic) served as the development environment. All analytical conclusions, framework applications, and publication decisions reflect human arbitration authority.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tabs>
        <w:tab w:val="right" w:pos="9026"/>
      </w:tabs>
    </w:pPr>
    <w:r>
      <w:rPr>
        <w:rFonts w:ascii="Arial" w:cs="Arial" w:eastAsia="Arial" w:hAnsi="Arial"/>
        <w:color w:val="666666"/>
        <w:sz w:val="18"/>
        <w:szCs w:val="18"/>
      </w:rPr>
      <w:t xml:space="preserve">Confidential Prior Art Record | basilpuglisi.com</w:t>
    </w:r>
    <w: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pPr>
    <w:r>
      <w:rPr>
        <w:rFonts w:ascii="Arial" w:cs="Arial" w:eastAsia="Arial" w:hAnsi="Arial"/>
        <w:i/>
        <w:iCs/>
        <w:color w:val="666666"/>
        <w:sz w:val="18"/>
        <w:szCs w:val="18"/>
      </w:rPr>
      <w:t xml:space="preserve">Prior Art Provenance and IP Timeline Record</w:t>
    </w:r>
    <w:r>
      <w:t xml:space="preserve">	</w:t>
    </w:r>
    <w:r>
      <w:rPr>
        <w:rFonts w:ascii="Arial" w:cs="Arial" w:eastAsia="Arial" w:hAnsi="Arial"/>
        <w:i/>
        <w:iCs/>
        <w:color w:val="666666"/>
        <w:sz w:val="18"/>
        <w:szCs w:val="18"/>
      </w:rPr>
      <w:t xml:space="preserve">Basil C. Puglisi, 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2026-02-18T01:26:59.531Z</dcterms:created>
  <dcterms:modified xsi:type="dcterms:W3CDTF">2026-02-18T01:26:59.532Z</dcterms:modified>
</cp:coreProperties>
</file>

<file path=docProps/custom.xml><?xml version="1.0" encoding="utf-8"?>
<Properties xmlns="http://schemas.openxmlformats.org/officeDocument/2006/custom-properties" xmlns:vt="http://schemas.openxmlformats.org/officeDocument/2006/docPropsVTypes"/>
</file>