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color w:val="1B3A5C"/>
          <w:sz w:val="36"/>
          <w:szCs w:val="36"/>
        </w:rPr>
        <w:t xml:space="preserve">AI Provider Plurality</w:t>
      </w:r>
    </w:p>
    <w:p>
      <w:pPr>
        <w:spacing w:after="40"/>
        <w:jc w:val="center"/>
      </w:pPr>
      <w:r>
        <w:rPr>
          <w:rFonts w:ascii="Arial" w:cs="Arial" w:eastAsia="Arial" w:hAnsi="Arial"/>
          <w:color w:val="1B3A5C"/>
          <w:sz w:val="26"/>
          <w:szCs w:val="26"/>
        </w:rPr>
        <w:t xml:space="preserve">Infrastructure for Safe AI in America</w:t>
      </w:r>
    </w:p>
    <w:p>
      <w:pPr>
        <w:spacing w:after="120"/>
        <w:jc w:val="center"/>
      </w:pPr>
      <w:r>
        <w:rPr>
          <w:rFonts w:ascii="Arial" w:cs="Arial" w:eastAsia="Arial" w:hAnsi="Arial"/>
          <w:color w:val="555555"/>
          <w:sz w:val="20"/>
          <w:szCs w:val="20"/>
        </w:rPr>
        <w:t xml:space="preserve">Congressional Summary — February 2026 — Basil C. Puglisi, MPA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AAAAA" w:sz="1"/>
              <w:left w:val="single" w:color="AAAAAA" w:sz="1"/>
              <w:bottom w:val="single" w:color="AAAAAA" w:sz="1"/>
              <w:right w:val="single" w:color="AAAAAA" w:sz="1"/>
            </w:tcBorders>
            <w:shd w:fill="1B3A5C" w:val="clear"/>
            <w:tcMar>
              <w:top w:type="dxa" w:w="100"/>
              <w:left w:type="dxa" w:w="200"/>
              <w:bottom w:type="dxa" w:w="100"/>
              <w:right w:type="dxa" w:w="200"/>
            </w:tcMar>
          </w:tcPr>
          <w:p>
            <w:pPr>
              <w:spacing w:after="60"/>
              <w:jc w:val="center"/>
            </w:pPr>
            <w:r>
              <w:rPr>
                <w:rFonts w:ascii="Arial" w:cs="Arial" w:eastAsia="Arial" w:hAnsi="Arial"/>
                <w:b/>
                <w:bCs/>
                <w:color w:val="FFFFFF"/>
                <w:sz w:val="24"/>
                <w:szCs w:val="24"/>
              </w:rPr>
              <w:t xml:space="preserve">THE ASK</w:t>
            </w:r>
          </w:p>
          <w:p>
            <w:pPr>
              <w:spacing w:after="40"/>
            </w:pPr>
            <w:r>
              <w:rPr>
                <w:rFonts w:ascii="Arial" w:cs="Arial" w:eastAsia="Arial" w:hAnsi="Arial"/>
                <w:b/>
                <w:bCs/>
                <w:color w:val="FFFFFF"/>
                <w:sz w:val="20"/>
                <w:szCs w:val="20"/>
              </w:rPr>
              <w:t xml:space="preserve">1. Fund GOPEL as national AI infrastructure </w:t>
            </w:r>
            <w:r>
              <w:rPr>
                <w:rFonts w:ascii="Arial" w:cs="Arial" w:eastAsia="Arial" w:hAnsi="Arial"/>
                <w:color w:val="D0D8E8"/>
                <w:sz w:val="20"/>
                <w:szCs w:val="20"/>
              </w:rPr>
              <w:t xml:space="preserve">(the government builds the road, AI platforms are the vehicles)</w:t>
            </w:r>
          </w:p>
          <w:p>
            <w:pPr>
              <w:spacing w:after="40"/>
            </w:pPr>
            <w:r>
              <w:rPr>
                <w:rFonts w:ascii="Arial" w:cs="Arial" w:eastAsia="Arial" w:hAnsi="Arial"/>
                <w:b/>
                <w:bCs/>
                <w:color w:val="FFFFFF"/>
                <w:sz w:val="20"/>
                <w:szCs w:val="20"/>
              </w:rPr>
              <w:t xml:space="preserve">2. Mandate API accessibility </w:t>
            </w:r>
            <w:r>
              <w:rPr>
                <w:rFonts w:ascii="Arial" w:cs="Arial" w:eastAsia="Arial" w:hAnsi="Arial"/>
                <w:color w:val="D0D8E8"/>
                <w:sz w:val="20"/>
                <w:szCs w:val="20"/>
              </w:rPr>
              <w:t xml:space="preserve">for AI companies operating in the United States (vehicles must meet safety standards to use public roads)</w:t>
            </w:r>
          </w:p>
          <w:p>
            <w:pPr>
              <w:spacing w:after="0"/>
            </w:pPr>
            <w:r>
              <w:rPr>
                <w:rFonts w:ascii="Arial" w:cs="Arial" w:eastAsia="Arial" w:hAnsi="Arial"/>
                <w:b/>
                <w:bCs/>
                <w:color w:val="FFFFFF"/>
                <w:sz w:val="20"/>
                <w:szCs w:val="20"/>
              </w:rPr>
              <w:t xml:space="preserve">3. Invest in small AI platforms </w:t>
            </w:r>
            <w:r>
              <w:rPr>
                <w:rFonts w:ascii="Arial" w:cs="Arial" w:eastAsia="Arial" w:hAnsi="Arial"/>
                <w:color w:val="D0D8E8"/>
                <w:sz w:val="20"/>
                <w:szCs w:val="20"/>
              </w:rPr>
              <w:t xml:space="preserve">to guarantee the competitive diversity that makes governance real (SBIR/STTR model)</w:t>
            </w:r>
          </w:p>
        </w:tc>
      </w:tr>
    </w:tbl>
    <w:p>
      <w:pPr>
        <w:spacing w:after="60"/>
      </w:pPr>
    </w:p>
    <w:p>
      <w:pPr>
        <w:spacing w:after="120"/>
      </w:pPr>
      <w:r>
        <w:rPr>
          <w:rFonts w:ascii="Arial" w:cs="Arial" w:eastAsia="Arial" w:hAnsi="Arial"/>
          <w:i/>
          <w:iCs/>
          <w:color w:val="555555"/>
          <w:sz w:val="19"/>
          <w:szCs w:val="19"/>
        </w:rPr>
        <w:t xml:space="preserve">Phase 0 requires no new appropriation. Agencies adopt manual governance using existing resources to generate baseline data.</w:t>
      </w:r>
    </w:p>
    <w:p>
      <w:pPr>
        <w:pStyle w:val="Heading1"/>
        <w:spacing w:before="240" w:after="120"/>
      </w:pPr>
      <w:r>
        <w:rPr>
          <w:rFonts w:ascii="Arial" w:cs="Arial" w:eastAsia="Arial" w:hAnsi="Arial"/>
          <w:b/>
          <w:bCs/>
          <w:color w:val="1B3A5C"/>
          <w:sz w:val="26"/>
          <w:szCs w:val="26"/>
        </w:rPr>
        <w:t xml:space="preserve">The Problem</w:t>
      </w:r>
    </w:p>
    <w:p>
      <w:pPr>
        <w:spacing w:after="120"/>
      </w:pPr>
      <w:r>
        <w:rPr>
          <w:rFonts w:ascii="Arial" w:cs="Arial" w:eastAsia="Arial" w:hAnsi="Arial"/>
          <w:sz w:val="21"/>
          <w:szCs w:val="21"/>
        </w:rPr>
        <w:t xml:space="preserve">AI shapes decisions in finance, healthcare, education, and national security. Control over these systems is concentrating in a small number of corporations. Executive Orders 14179 and 14365 call for a national standard that removes barriers to AI leadership without creating fifty state regulatory regimes. Single AI systems are proven flawed: hallucinations, bias, confabulation, alignment failures. Different AI systems produce different outputs on the same inputs. Geoffrey Hinton warns capability is advancing faster than control. Without structural safeguards, the digital equivalent of "too big to fail" moves from finance to cognition.</w:t>
      </w:r>
    </w:p>
    <w:p>
      <w:pPr>
        <w:pStyle w:val="Heading1"/>
        <w:spacing w:before="240" w:after="120"/>
      </w:pPr>
      <w:r>
        <w:rPr>
          <w:rFonts w:ascii="Arial" w:cs="Arial" w:eastAsia="Arial" w:hAnsi="Arial"/>
          <w:b/>
          <w:bCs/>
          <w:color w:val="1B3A5C"/>
          <w:sz w:val="26"/>
          <w:szCs w:val="26"/>
        </w:rPr>
        <w:t xml:space="preserve">The Infrastructure Answer</w:t>
      </w:r>
    </w:p>
    <w:p>
      <w:pPr>
        <w:spacing w:after="120"/>
      </w:pPr>
      <w:r>
        <w:rPr>
          <w:rFonts w:ascii="Arial" w:cs="Arial" w:eastAsia="Arial" w:hAnsi="Arial"/>
          <w:sz w:val="21"/>
          <w:szCs w:val="21"/>
        </w:rPr>
        <w:t xml:space="preserve">The American public does not need more AI regulation. The American public needs AI infrastructure.</w:t>
      </w:r>
    </w:p>
    <w:p>
      <w:pPr>
        <w:spacing w:after="120"/>
      </w:pPr>
      <w:r>
        <w:rPr>
          <w:rFonts w:ascii="Arial" w:cs="Arial" w:eastAsia="Arial" w:hAnsi="Arial"/>
          <w:sz w:val="21"/>
          <w:szCs w:val="21"/>
        </w:rPr>
        <w:t xml:space="preserve"/>
      </w:r>
      <w:r>
        <w:rPr>
          <w:rFonts w:ascii="Arial" w:cs="Arial" w:eastAsia="Arial" w:hAnsi="Arial"/>
          <w:b/>
          <w:bCs/>
          <w:sz w:val="21"/>
          <w:szCs w:val="21"/>
        </w:rPr>
        <w:t xml:space="preserve">GOPEL</w:t>
      </w:r>
      <w:r>
        <w:rPr>
          <w:rFonts w:ascii="Arial" w:cs="Arial" w:eastAsia="Arial" w:hAnsi="Arial"/>
          <w:sz w:val="21"/>
          <w:szCs w:val="21"/>
        </w:rPr>
        <w:t xml:space="preserve"> (Governance Orchestrator Policy Enforcement Layer) is a non-cognitive governance agent: it dispatches, collects, routes, logs, pauses, hashes, and reports. Seven deterministic operations. Zero cognitive work. It cannot be co-opted because there is nothing to co-opt. If AI capability advances to the point of influencing its operators, a non-cognitive layer has no cognition to manipulate. This is not a proposal for more regulation. This is the engineering that makes less regulation safe.</w:t>
      </w:r>
    </w:p>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2016"/>
        <w:gridCol w:w="2016"/>
        <w:gridCol w:w="2016"/>
        <w:gridCol w:w="2016"/>
      </w:tblGrid>
      <w:tr>
        <w:tc>
          <w:tcPr>
            <w:tcW w:type="dxa" w:w="2016"/>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Aviation</w:t>
            </w:r>
          </w:p>
        </w:tc>
        <w:tc>
          <w:tcPr>
            <w:tcW w:type="dxa" w:w="2016"/>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Highways</w:t>
            </w:r>
          </w:p>
        </w:tc>
        <w:tc>
          <w:tcPr>
            <w:tcW w:type="dxa" w:w="2016"/>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Finance</w:t>
            </w:r>
          </w:p>
        </w:tc>
        <w:tc>
          <w:tcPr>
            <w:tcW w:type="dxa" w:w="2016"/>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Telecom</w:t>
            </w:r>
          </w:p>
        </w:tc>
        <w:tc>
          <w:tcPr>
            <w:tcW w:type="dxa" w:w="2016"/>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AI</w:t>
            </w:r>
          </w:p>
        </w:tc>
      </w:tr>
      <w:tr>
        <w:tc>
          <w:tcPr>
            <w:tcW w:type="dxa" w:w="201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pPr>
            <w:r>
              <w:rPr>
                <w:rFonts w:ascii="Arial" w:cs="Arial" w:eastAsia="Arial" w:hAnsi="Arial"/>
                <w:sz w:val="18"/>
                <w:szCs w:val="18"/>
              </w:rPr>
              <w:t xml:space="preserve">Airlines fly. FAA governs.</w:t>
            </w:r>
          </w:p>
        </w:tc>
        <w:tc>
          <w:tcPr>
            <w:tcW w:type="dxa" w:w="201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pPr>
            <w:r>
              <w:rPr>
                <w:rFonts w:ascii="Arial" w:cs="Arial" w:eastAsia="Arial" w:hAnsi="Arial"/>
                <w:sz w:val="18"/>
                <w:szCs w:val="18"/>
              </w:rPr>
              <w:t xml:space="preserve">Cars drive. FHWA sets safety.</w:t>
            </w:r>
          </w:p>
        </w:tc>
        <w:tc>
          <w:tcPr>
            <w:tcW w:type="dxa" w:w="201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pPr>
            <w:r>
              <w:rPr>
                <w:rFonts w:ascii="Arial" w:cs="Arial" w:eastAsia="Arial" w:hAnsi="Arial"/>
                <w:sz w:val="18"/>
                <w:szCs w:val="18"/>
              </w:rPr>
              <w:t xml:space="preserve">Banks trade. SEC oversees.</w:t>
            </w:r>
          </w:p>
        </w:tc>
        <w:tc>
          <w:tcPr>
            <w:tcW w:type="dxa" w:w="2016"/>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pPr>
            <w:r>
              <w:rPr>
                <w:rFonts w:ascii="Arial" w:cs="Arial" w:eastAsia="Arial" w:hAnsi="Arial"/>
                <w:sz w:val="18"/>
                <w:szCs w:val="18"/>
              </w:rPr>
              <w:t xml:space="preserve">Carriers transmit. FCC regulates.</w:t>
            </w:r>
          </w:p>
        </w:tc>
        <w:tc>
          <w:tcPr>
            <w:tcW w:type="dxa" w:w="2016"/>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pPr>
              <w:spacing w:after="20"/>
            </w:pPr>
            <w:r>
              <w:rPr>
                <w:rFonts w:ascii="Arial" w:cs="Arial" w:eastAsia="Arial" w:hAnsi="Arial"/>
                <w:sz w:val="18"/>
                <w:szCs w:val="18"/>
              </w:rPr>
              <w:t xml:space="preserve"/>
            </w:r>
            <w:r>
              <w:rPr>
                <w:rFonts w:ascii="Arial" w:cs="Arial" w:eastAsia="Arial" w:hAnsi="Arial"/>
                <w:b/>
                <w:bCs/>
                <w:sz w:val="18"/>
                <w:szCs w:val="18"/>
              </w:rPr>
              <w:t xml:space="preserve">AI platforms produce. GOPEL governs.</w:t>
            </w:r>
            <w:r>
              <w:rPr>
                <w:rFonts w:ascii="Arial" w:cs="Arial" w:eastAsia="Arial" w:hAnsi="Arial"/>
                <w:sz w:val="18"/>
                <w:szCs w:val="18"/>
              </w:rPr>
              <w:t xml:space="preserve"/>
            </w:r>
          </w:p>
        </w:tc>
      </w:tr>
    </w:tbl>
    <w:p>
      <w:pPr>
        <w:spacing w:after="60"/>
      </w:pPr>
    </w:p>
    <w:p>
      <w:pPr>
        <w:pStyle w:val="Heading1"/>
        <w:spacing w:before="240" w:after="120"/>
      </w:pPr>
      <w:r>
        <w:rPr>
          <w:rFonts w:ascii="Arial" w:cs="Arial" w:eastAsia="Arial" w:hAnsi="Arial"/>
          <w:b/>
          <w:bCs/>
          <w:color w:val="1B3A5C"/>
          <w:sz w:val="26"/>
          <w:szCs w:val="26"/>
        </w:rPr>
        <w:t xml:space="preserve">Why This Is Different</w:t>
      </w:r>
    </w:p>
    <w:p>
      <w:pPr>
        <w:spacing w:after="120"/>
      </w:pPr>
      <w:r>
        <w:rPr>
          <w:rFonts w:ascii="Arial" w:cs="Arial" w:eastAsia="Arial" w:hAnsi="Arial"/>
          <w:sz w:val="21"/>
          <w:szCs w:val="21"/>
        </w:rPr>
        <w:t xml:space="preserve"/>
      </w:r>
      <w:r>
        <w:rPr>
          <w:rFonts w:ascii="Arial" w:cs="Arial" w:eastAsia="Arial" w:hAnsi="Arial"/>
          <w:b/>
          <w:bCs/>
          <w:sz w:val="21"/>
          <w:szCs w:val="21"/>
        </w:rPr>
        <w:t xml:space="preserve">Ethical AI</w:t>
      </w:r>
      <w:r>
        <w:rPr>
          <w:rFonts w:ascii="Arial" w:cs="Arial" w:eastAsia="Arial" w:hAnsi="Arial"/>
          <w:sz w:val="21"/>
          <w:szCs w:val="21"/>
        </w:rPr>
        <w:t xml:space="preserve"> establishes values (what AI should do). </w:t>
      </w:r>
      <w:r>
        <w:rPr>
          <w:rFonts w:ascii="Arial" w:cs="Arial" w:eastAsia="Arial" w:hAnsi="Arial"/>
          <w:b/>
          <w:bCs/>
          <w:sz w:val="21"/>
          <w:szCs w:val="21"/>
        </w:rPr>
        <w:t xml:space="preserve">Responsible AI</w:t>
      </w:r>
      <w:r>
        <w:rPr>
          <w:rFonts w:ascii="Arial" w:cs="Arial" w:eastAsia="Arial" w:hAnsi="Arial"/>
          <w:sz w:val="21"/>
          <w:szCs w:val="21"/>
        </w:rPr>
        <w:t xml:space="preserve"> shapes machine behavior (how AI should operate). </w:t>
      </w:r>
      <w:r>
        <w:rPr>
          <w:rFonts w:ascii="Arial" w:cs="Arial" w:eastAsia="Arial" w:hAnsi="Arial"/>
          <w:b/>
          <w:bCs/>
          <w:sz w:val="21"/>
          <w:szCs w:val="21"/>
        </w:rPr>
        <w:t xml:space="preserve">AI Governance</w:t>
      </w:r>
      <w:r>
        <w:rPr>
          <w:rFonts w:ascii="Arial" w:cs="Arial" w:eastAsia="Arial" w:hAnsi="Arial"/>
          <w:sz w:val="21"/>
          <w:szCs w:val="21"/>
        </w:rPr>
        <w:t xml:space="preserve"> exercises human authority (who decides). The first two rely on voluntary corporate compliance. Only the third builds structural accountability through infrastructure. That is what we are proposing.</w:t>
      </w:r>
    </w:p>
    <w:p>
      <w:pPr>
        <w:spacing w:after="120"/>
      </w:pPr>
      <w:r>
        <w:rPr>
          <w:rFonts w:ascii="Arial" w:cs="Arial" w:eastAsia="Arial" w:hAnsi="Arial"/>
          <w:sz w:val="21"/>
          <w:szCs w:val="21"/>
        </w:rPr>
        <w:t xml:space="preserve">Three operating models calibrate governance to risk: </w:t>
      </w:r>
      <w:r>
        <w:rPr>
          <w:rFonts w:ascii="Arial" w:cs="Arial" w:eastAsia="Arial" w:hAnsi="Arial"/>
          <w:b/>
          <w:bCs/>
          <w:sz w:val="21"/>
          <w:szCs w:val="21"/>
        </w:rPr>
        <w:t xml:space="preserve">Model 1</w:t>
      </w:r>
      <w:r>
        <w:rPr>
          <w:rFonts w:ascii="Arial" w:cs="Arial" w:eastAsia="Arial" w:hAnsi="Arial"/>
          <w:sz w:val="21"/>
          <w:szCs w:val="21"/>
        </w:rPr>
        <w:t xml:space="preserve"> (growth-speed, single checkpoint) for routine operations. </w:t>
      </w:r>
      <w:r>
        <w:rPr>
          <w:rFonts w:ascii="Arial" w:cs="Arial" w:eastAsia="Arial" w:hAnsi="Arial"/>
          <w:b/>
          <w:bCs/>
          <w:sz w:val="21"/>
          <w:szCs w:val="21"/>
        </w:rPr>
        <w:t xml:space="preserve">Model 2</w:t>
      </w:r>
      <w:r>
        <w:rPr>
          <w:rFonts w:ascii="Arial" w:cs="Arial" w:eastAsia="Arial" w:hAnsi="Arial"/>
          <w:sz w:val="21"/>
          <w:szCs w:val="21"/>
        </w:rPr>
        <w:t xml:space="preserve"> (structured gates, human approval at each role) for high-risk decisions. </w:t>
      </w:r>
      <w:r>
        <w:rPr>
          <w:rFonts w:ascii="Arial" w:cs="Arial" w:eastAsia="Arial" w:hAnsi="Arial"/>
          <w:b/>
          <w:bCs/>
          <w:sz w:val="21"/>
          <w:szCs w:val="21"/>
        </w:rPr>
        <w:t xml:space="preserve">Model 3</w:t>
      </w:r>
      <w:r>
        <w:rPr>
          <w:rFonts w:ascii="Arial" w:cs="Arial" w:eastAsia="Arial" w:hAnsi="Arial"/>
          <w:sz w:val="21"/>
          <w:szCs w:val="21"/>
        </w:rPr>
        <w:t xml:space="preserve"> (full manual orchestration) for highest-consequence work. Organizations choose. Markets function. The infrastructure accommodates both speed and accountability. This meets EU compliance standards while preserving American free markets.</w:t>
      </w:r>
    </w:p>
    <w:p>
      <w:pPr>
        <w:pageBreakBefore/>
        <w:spacing w:before="80"/>
      </w:pPr>
      <w:r>
        <w:rPr>
          <w:rFonts w:ascii="Arial" w:cs="Arial" w:eastAsia="Arial" w:hAnsi="Arial"/>
          <w:sz w:val="21"/>
          <w:szCs w:val="21"/>
        </w:rPr>
        <w:t xml:space="preserve"/>
      </w:r>
    </w:p>
    <w:p>
      <w:pPr>
        <w:pStyle w:val="Heading1"/>
        <w:spacing w:before="240" w:after="120"/>
      </w:pPr>
      <w:r>
        <w:rPr>
          <w:rFonts w:ascii="Arial" w:cs="Arial" w:eastAsia="Arial" w:hAnsi="Arial"/>
          <w:b/>
          <w:bCs/>
          <w:color w:val="1B3A5C"/>
          <w:sz w:val="26"/>
          <w:szCs w:val="26"/>
        </w:rPr>
        <w:t xml:space="preserve">Legislative Actions</w:t>
      </w:r>
    </w:p>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6720"/>
      </w:tblGrid>
      <w:tr>
        <w:tc>
          <w:tcPr>
            <w:tcW w:type="dxa" w:w="33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Action</w:t>
            </w:r>
          </w:p>
        </w:tc>
        <w:tc>
          <w:tcPr>
            <w:tcW w:type="dxa" w:w="672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Mechanism</w:t>
            </w:r>
          </w:p>
        </w:tc>
      </w:tr>
      <w:tr>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pPr>
            <w:r>
              <w:rPr>
                <w:rFonts w:ascii="Arial" w:cs="Arial" w:eastAsia="Arial" w:hAnsi="Arial"/>
                <w:sz w:val="18"/>
                <w:szCs w:val="18"/>
              </w:rPr>
              <w:t xml:space="preserve"/>
            </w:r>
            <w:r>
              <w:rPr>
                <w:rFonts w:ascii="Arial" w:cs="Arial" w:eastAsia="Arial" w:hAnsi="Arial"/>
                <w:b/>
                <w:bCs/>
                <w:sz w:val="18"/>
                <w:szCs w:val="18"/>
              </w:rPr>
              <w:t xml:space="preserve">Fund GOPEL Infrastructure</w:t>
            </w:r>
            <w:r>
              <w:rPr>
                <w:rFonts w:ascii="Arial" w:cs="Arial" w:eastAsia="Arial" w:hAnsi="Arial"/>
                <w:sz w:val="18"/>
                <w:szCs w:val="18"/>
              </w:rPr>
              <w:t xml:space="preserve"/>
            </w:r>
          </w:p>
        </w:tc>
        <w:tc>
          <w:tcPr>
            <w:tcW w:type="dxa" w:w="67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pPr>
            <w:r>
              <w:rPr>
                <w:rFonts w:ascii="Arial" w:cs="Arial" w:eastAsia="Arial" w:hAnsi="Arial"/>
                <w:sz w:val="18"/>
                <w:szCs w:val="18"/>
              </w:rPr>
              <w:t xml:space="preserve">Authorize NIST/GSA development of non-cognitive governance agent. Phased milestone-gated appropriation: funding released only after each phase clears validation gate. Phase 0 costs nothing</w:t>
            </w:r>
          </w:p>
        </w:tc>
      </w:tr>
      <w:tr>
        <w:tc>
          <w:tcPr>
            <w:tcW w:type="dxa" w:w="336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tcPr>
          <w:p>
            <w:pPr>
              <w:spacing w:after="20"/>
            </w:pPr>
            <w:r>
              <w:rPr>
                <w:rFonts w:ascii="Arial" w:cs="Arial" w:eastAsia="Arial" w:hAnsi="Arial"/>
                <w:sz w:val="18"/>
                <w:szCs w:val="18"/>
              </w:rPr>
              <w:t xml:space="preserve"/>
            </w:r>
            <w:r>
              <w:rPr>
                <w:rFonts w:ascii="Arial" w:cs="Arial" w:eastAsia="Arial" w:hAnsi="Arial"/>
                <w:b/>
                <w:bCs/>
                <w:sz w:val="18"/>
                <w:szCs w:val="18"/>
              </w:rPr>
              <w:t xml:space="preserve">Mandate API Accessibility</w:t>
            </w:r>
            <w:r>
              <w:rPr>
                <w:rFonts w:ascii="Arial" w:cs="Arial" w:eastAsia="Arial" w:hAnsi="Arial"/>
                <w:sz w:val="18"/>
                <w:szCs w:val="18"/>
              </w:rPr>
              <w:t xml:space="preserve"/>
            </w:r>
          </w:p>
        </w:tc>
        <w:tc>
          <w:tcPr>
            <w:tcW w:type="dxa" w:w="672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tcPr>
          <w:p>
            <w:pPr>
              <w:spacing w:after="20"/>
            </w:pPr>
            <w:r>
              <w:rPr>
                <w:rFonts w:ascii="Arial" w:cs="Arial" w:eastAsia="Arial" w:hAnsi="Arial"/>
                <w:sz w:val="18"/>
                <w:szCs w:val="18"/>
              </w:rPr>
              <w:t xml:space="preserve">AI companies operating in U.S. territory maintain audit compatibility with federal governance infrastructure. FTC enforces. Vehicles must meet safety standards to use public roads</w:t>
            </w:r>
          </w:p>
        </w:tc>
      </w:tr>
      <w:tr>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pPr>
            <w:r>
              <w:rPr>
                <w:rFonts w:ascii="Arial" w:cs="Arial" w:eastAsia="Arial" w:hAnsi="Arial"/>
                <w:sz w:val="18"/>
                <w:szCs w:val="18"/>
              </w:rPr>
              <w:t xml:space="preserve"/>
            </w:r>
            <w:r>
              <w:rPr>
                <w:rFonts w:ascii="Arial" w:cs="Arial" w:eastAsia="Arial" w:hAnsi="Arial"/>
                <w:b/>
                <w:bCs/>
                <w:sz w:val="18"/>
                <w:szCs w:val="18"/>
              </w:rPr>
              <w:t xml:space="preserve">Invest in Small AI</w:t>
            </w:r>
            <w:r>
              <w:rPr>
                <w:rFonts w:ascii="Arial" w:cs="Arial" w:eastAsia="Arial" w:hAnsi="Arial"/>
                <w:sz w:val="18"/>
                <w:szCs w:val="18"/>
              </w:rPr>
              <w:t xml:space="preserve"/>
            </w:r>
          </w:p>
        </w:tc>
        <w:tc>
          <w:tcPr>
            <w:tcW w:type="dxa" w:w="67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pPr>
            <w:r>
              <w:rPr>
                <w:rFonts w:ascii="Arial" w:cs="Arial" w:eastAsia="Arial" w:hAnsi="Arial"/>
                <w:sz w:val="18"/>
                <w:szCs w:val="18"/>
              </w:rPr>
              <w:t xml:space="preserve">SBIR/STTR-style competitive grants for emerging AI platforms. Recipients maintain GOPEL API compatibility. Creates supply-side competition so governance has enough providers to work</w:t>
            </w:r>
          </w:p>
        </w:tc>
      </w:tr>
      <w:tr>
        <w:tc>
          <w:tcPr>
            <w:tcW w:type="dxa" w:w="336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tcPr>
          <w:p>
            <w:pPr>
              <w:spacing w:after="20"/>
            </w:pPr>
            <w:r>
              <w:rPr>
                <w:rFonts w:ascii="Arial" w:cs="Arial" w:eastAsia="Arial" w:hAnsi="Arial"/>
                <w:sz w:val="18"/>
                <w:szCs w:val="18"/>
              </w:rPr>
              <w:t xml:space="preserve"/>
            </w:r>
            <w:r>
              <w:rPr>
                <w:rFonts w:ascii="Arial" w:cs="Arial" w:eastAsia="Arial" w:hAnsi="Arial"/>
                <w:b/>
                <w:bCs/>
                <w:sz w:val="18"/>
                <w:szCs w:val="18"/>
              </w:rPr>
              <w:t xml:space="preserve">Anti-Concentration</w:t>
            </w:r>
            <w:r>
              <w:rPr>
                <w:rFonts w:ascii="Arial" w:cs="Arial" w:eastAsia="Arial" w:hAnsi="Arial"/>
                <w:sz w:val="18"/>
                <w:szCs w:val="18"/>
              </w:rPr>
              <w:t xml:space="preserve"/>
            </w:r>
          </w:p>
        </w:tc>
        <w:tc>
          <w:tcPr>
            <w:tcW w:type="dxa" w:w="672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tcPr>
          <w:p>
            <w:pPr>
              <w:spacing w:after="20"/>
            </w:pPr>
            <w:r>
              <w:rPr>
                <w:rFonts w:ascii="Arial" w:cs="Arial" w:eastAsia="Arial" w:hAnsi="Arial"/>
                <w:sz w:val="18"/>
                <w:szCs w:val="18"/>
              </w:rPr>
              <w:t xml:space="preserve">FTC/DOJ studies of exclusivity, compute concentration, resource consolidation (water, energy, compute). Extend antitrust tradition to cognitive infrastructure</w:t>
            </w:r>
          </w:p>
        </w:tc>
      </w:tr>
      <w:tr>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pPr>
            <w:r>
              <w:rPr>
                <w:rFonts w:ascii="Arial" w:cs="Arial" w:eastAsia="Arial" w:hAnsi="Arial"/>
                <w:sz w:val="18"/>
                <w:szCs w:val="18"/>
              </w:rPr>
              <w:t xml:space="preserve"/>
            </w:r>
            <w:r>
              <w:rPr>
                <w:rFonts w:ascii="Arial" w:cs="Arial" w:eastAsia="Arial" w:hAnsi="Arial"/>
                <w:b/>
                <w:bCs/>
                <w:sz w:val="18"/>
                <w:szCs w:val="18"/>
              </w:rPr>
              <w:t xml:space="preserve">Global Safeguard</w:t>
            </w:r>
            <w:r>
              <w:rPr>
                <w:rFonts w:ascii="Arial" w:cs="Arial" w:eastAsia="Arial" w:hAnsi="Arial"/>
                <w:sz w:val="18"/>
                <w:szCs w:val="18"/>
              </w:rPr>
              <w:t xml:space="preserve"/>
            </w:r>
          </w:p>
        </w:tc>
        <w:tc>
          <w:tcPr>
            <w:tcW w:type="dxa" w:w="67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pPr>
            <w:r>
              <w:rPr>
                <w:rFonts w:ascii="Arial" w:cs="Arial" w:eastAsia="Arial" w:hAnsi="Arial"/>
                <w:sz w:val="18"/>
                <w:szCs w:val="18"/>
              </w:rPr>
              <w:t xml:space="preserve">At least two non-U.S. democratic-aligned providers in federal multi-provider systems (five or more platforms, unclassified). Expands cultural coverage beyond WEIRD training data. Five Eyes and NATO partners qualify</w:t>
            </w:r>
          </w:p>
        </w:tc>
      </w:tr>
    </w:tbl>
    <w:p>
      <w:pPr>
        <w:spacing w:after="60"/>
      </w:pPr>
    </w:p>
    <w:p>
      <w:pPr>
        <w:pStyle w:val="Heading1"/>
        <w:spacing w:before="240" w:after="120"/>
      </w:pPr>
      <w:r>
        <w:rPr>
          <w:rFonts w:ascii="Arial" w:cs="Arial" w:eastAsia="Arial" w:hAnsi="Arial"/>
          <w:b/>
          <w:bCs/>
          <w:color w:val="1B3A5C"/>
          <w:sz w:val="26"/>
          <w:szCs w:val="26"/>
        </w:rPr>
        <w:t xml:space="preserve">The Bipartisan Case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For Conservatives</w:t>
            </w:r>
          </w:p>
        </w:tc>
        <w:tc>
          <w:tcPr>
            <w:tcW w:type="dxa" w:w="504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For Liberals</w:t>
            </w:r>
          </w:p>
        </w:tc>
      </w:tr>
      <w:tr>
        <w:tc>
          <w:tcPr>
            <w:tcW w:type="dxa" w:w="50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pPr>
            <w:r>
              <w:rPr>
                <w:rFonts w:ascii="Arial" w:cs="Arial" w:eastAsia="Arial" w:hAnsi="Arial"/>
                <w:sz w:val="18"/>
                <w:szCs w:val="18"/>
              </w:rPr>
              <w:t xml:space="preserve">Protects freedom, privacy, user choice. Prevents corporate cognitive cartels. Sustains market competition. Reduces government regulation through infrastructure. No content control</w:t>
            </w:r>
          </w:p>
        </w:tc>
        <w:tc>
          <w:tcPr>
            <w:tcW w:type="dxa" w:w="50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pPr>
            <w:r>
              <w:rPr>
                <w:rFonts w:ascii="Arial" w:cs="Arial" w:eastAsia="Arial" w:hAnsi="Arial"/>
                <w:sz w:val="18"/>
                <w:szCs w:val="18"/>
              </w:rPr>
              <w:t xml:space="preserve">Protects fairness, transparency, accountability. Counters WEIRD bias through provider diversity. Prevents AI from amplifying existing inequities. Structural safeguards, not voluntary compliance</w:t>
            </w:r>
          </w:p>
        </w:tc>
      </w:tr>
    </w:tbl>
    <w:p>
      <w:pPr>
        <w:spacing w:after="60"/>
      </w:pPr>
    </w:p>
    <w:p>
      <w:pPr>
        <w:pStyle w:val="Heading1"/>
        <w:spacing w:before="240" w:after="120"/>
      </w:pPr>
      <w:r>
        <w:rPr>
          <w:rFonts w:ascii="Arial" w:cs="Arial" w:eastAsia="Arial" w:hAnsi="Arial"/>
          <w:b/>
          <w:bCs/>
          <w:color w:val="1B3A5C"/>
          <w:sz w:val="26"/>
          <w:szCs w:val="26"/>
        </w:rPr>
        <w:t xml:space="preserve">Evidence Base</w:t>
      </w:r>
    </w:p>
    <w:p>
      <w:pPr>
        <w:spacing w:after="120"/>
      </w:pPr>
      <w:r>
        <w:rPr>
          <w:rFonts w:ascii="Arial" w:cs="Arial" w:eastAsia="Arial" w:hAnsi="Arial"/>
          <w:sz w:val="21"/>
          <w:szCs w:val="21"/>
        </w:rPr>
        <w:t xml:space="preserve"/>
      </w:r>
      <w:r>
        <w:rPr>
          <w:rFonts w:ascii="Arial" w:cs="Arial" w:eastAsia="Arial" w:hAnsi="Arial"/>
          <w:b/>
          <w:bCs/>
          <w:sz w:val="21"/>
          <w:szCs w:val="21"/>
        </w:rPr>
        <w:t xml:space="preserve">Proven by others:</w:t>
      </w:r>
      <w:r>
        <w:rPr>
          <w:rFonts w:ascii="Arial" w:cs="Arial" w:eastAsia="Arial" w:hAnsi="Arial"/>
          <w:sz w:val="21"/>
          <w:szCs w:val="21"/>
        </w:rPr>
        <w:t xml:space="preserve"> Single AI systems produce flawed outputs (industry research, academic study, corporate safety evaluations). Automation bias causes humans to defer to AI under volume pressure (EDPS, Goddard et al., Banovic et al.). Concentration threatens every critical industry without structural checks (American antitrust tradition).</w:t>
      </w:r>
    </w:p>
    <w:p>
      <w:pPr>
        <w:spacing w:after="120"/>
      </w:pPr>
      <w:r>
        <w:rPr>
          <w:rFonts w:ascii="Arial" w:cs="Arial" w:eastAsia="Arial" w:hAnsi="Arial"/>
          <w:sz w:val="21"/>
          <w:szCs w:val="21"/>
        </w:rPr>
        <w:t xml:space="preserve"/>
      </w:r>
      <w:r>
        <w:rPr>
          <w:rFonts w:ascii="Arial" w:cs="Arial" w:eastAsia="Arial" w:hAnsi="Arial"/>
          <w:b/>
          <w:bCs/>
          <w:sz w:val="21"/>
          <w:szCs w:val="21"/>
        </w:rPr>
        <w:t xml:space="preserve">Built and operated as working concepts:</w:t>
      </w:r>
      <w:r>
        <w:rPr>
          <w:rFonts w:ascii="Arial" w:cs="Arial" w:eastAsia="Arial" w:hAnsi="Arial"/>
          <w:sz w:val="21"/>
          <w:szCs w:val="21"/>
        </w:rPr>
        <w:t xml:space="preserve"> HAIA-RECCLIN multi-AI governance under human arbitration, using Factics methodology (facts paired with tactics and measurable outcomes), across several hundred articles and a published book (2022 through 2025). Cross-platform disagreement observed in approximately 15% to 25% of tasks. Arbitration typically resolved under 30 minutes. One documented instance where eight of nine platforms were wrong and the dissenting platform was correct.</w:t>
      </w:r>
    </w:p>
    <w:p>
      <w:pPr>
        <w:spacing w:after="120"/>
      </w:pPr>
      <w:r>
        <w:rPr>
          <w:rFonts w:ascii="Arial" w:cs="Arial" w:eastAsia="Arial" w:hAnsi="Arial"/>
          <w:sz w:val="21"/>
          <w:szCs w:val="21"/>
        </w:rPr>
        <w:t xml:space="preserve"/>
      </w:r>
      <w:r>
        <w:rPr>
          <w:rFonts w:ascii="Arial" w:cs="Arial" w:eastAsia="Arial" w:hAnsi="Arial"/>
          <w:b/>
          <w:bCs/>
          <w:sz w:val="21"/>
          <w:szCs w:val="21"/>
        </w:rPr>
        <w:t xml:space="preserve">Proposed for federal development:</w:t>
      </w:r>
      <w:r>
        <w:rPr>
          <w:rFonts w:ascii="Arial" w:cs="Arial" w:eastAsia="Arial" w:hAnsi="Arial"/>
          <w:sz w:val="21"/>
          <w:szCs w:val="21"/>
        </w:rPr>
        <w:t xml:space="preserve"> GOPEL infrastructure at national scale. Specification published. Federal pilots produce the validated data.</w:t>
      </w:r>
    </w:p>
    <w:p>
      <w:pPr>
        <w:spacing w:after="120"/>
      </w:pPr>
      <w:r>
        <w:rPr>
          <w:rFonts w:ascii="Arial" w:cs="Arial" w:eastAsia="Arial" w:hAnsi="Arial"/>
          <w:i/>
          <w:iCs/>
          <w:color w:val="555555"/>
          <w:sz w:val="18"/>
          <w:szCs w:val="18"/>
        </w:rPr>
        <w:t xml:space="preserve">These are working concept observations from single-practitioner development, not validated benchmarks. They provide feasibility indicators for agency pilot design.</w:t>
      </w:r>
    </w:p>
    <w:p>
      <w:pPr>
        <w:spacing w:after="60"/>
      </w:pPr>
    </w:p>
    <w:p>
      <w:pPr>
        <w:pStyle w:val="Heading1"/>
        <w:spacing w:before="240" w:after="120"/>
      </w:pPr>
      <w:r>
        <w:rPr>
          <w:rFonts w:ascii="Arial" w:cs="Arial" w:eastAsia="Arial" w:hAnsi="Arial"/>
          <w:b/>
          <w:bCs/>
          <w:color w:val="1B3A5C"/>
          <w:sz w:val="26"/>
          <w:szCs w:val="26"/>
        </w:rPr>
        <w:t xml:space="preserve">The Package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4200"/>
        <w:gridCol w:w="4200"/>
      </w:tblGrid>
      <w:tr>
        <w:tc>
          <w:tcPr>
            <w:tcW w:type="dxa" w:w="168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Doc</w:t>
            </w:r>
          </w:p>
        </w:tc>
        <w:tc>
          <w:tcPr>
            <w:tcW w:type="dxa" w:w="42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Title</w:t>
            </w:r>
          </w:p>
        </w:tc>
        <w:tc>
          <w:tcPr>
            <w:tcW w:type="dxa" w:w="42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Purpose</w:t>
            </w:r>
          </w:p>
        </w:tc>
      </w:tr>
      <w:tr>
        <w:tc>
          <w:tcPr>
            <w:tcW w:type="dxa" w:w="168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pPr>
              <w:spacing w:after="20"/>
            </w:pPr>
            <w:r>
              <w:rPr>
                <w:rFonts w:ascii="Arial" w:cs="Arial" w:eastAsia="Arial" w:hAnsi="Arial"/>
                <w:sz w:val="18"/>
                <w:szCs w:val="18"/>
              </w:rPr>
              <w:t xml:space="preserve"/>
            </w:r>
            <w:r>
              <w:rPr>
                <w:rFonts w:ascii="Arial" w:cs="Arial" w:eastAsia="Arial" w:hAnsi="Arial"/>
                <w:b/>
                <w:bCs/>
                <w:sz w:val="18"/>
                <w:szCs w:val="18"/>
              </w:rPr>
              <w:t xml:space="preserve">1</w:t>
            </w:r>
            <w:r>
              <w:rPr>
                <w:rFonts w:ascii="Arial" w:cs="Arial" w:eastAsia="Arial" w:hAnsi="Arial"/>
                <w:sz w:val="18"/>
                <w:szCs w:val="18"/>
              </w:rPr>
              <w:t xml:space="preserve"/>
            </w:r>
          </w:p>
        </w:tc>
        <w:tc>
          <w:tcPr>
            <w:tcW w:type="dxa" w:w="42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pPr>
              <w:spacing w:after="20"/>
            </w:pPr>
            <w:r>
              <w:rPr>
                <w:rFonts w:ascii="Arial" w:cs="Arial" w:eastAsia="Arial" w:hAnsi="Arial"/>
                <w:sz w:val="18"/>
                <w:szCs w:val="18"/>
              </w:rPr>
              <w:t xml:space="preserve">Summary Flyer (this document)</w:t>
            </w:r>
          </w:p>
        </w:tc>
        <w:tc>
          <w:tcPr>
            <w:tcW w:type="dxa" w:w="42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pPr>
              <w:spacing w:after="20"/>
            </w:pPr>
            <w:r>
              <w:rPr>
                <w:rFonts w:ascii="Arial" w:cs="Arial" w:eastAsia="Arial" w:hAnsi="Arial"/>
                <w:sz w:val="18"/>
                <w:szCs w:val="18"/>
              </w:rPr>
              <w:t xml:space="preserve">Elevator pitch for infrastructure proposal</w:t>
            </w:r>
          </w:p>
        </w:tc>
      </w:tr>
      <w:tr>
        <w:tc>
          <w:tcPr>
            <w:tcW w:type="dxa" w:w="16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pPr>
            <w:r>
              <w:rPr>
                <w:rFonts w:ascii="Arial" w:cs="Arial" w:eastAsia="Arial" w:hAnsi="Arial"/>
                <w:sz w:val="18"/>
                <w:szCs w:val="18"/>
              </w:rPr>
              <w:t xml:space="preserve"/>
            </w:r>
            <w:r>
              <w:rPr>
                <w:rFonts w:ascii="Arial" w:cs="Arial" w:eastAsia="Arial" w:hAnsi="Arial"/>
                <w:b/>
                <w:bCs/>
                <w:sz w:val="18"/>
                <w:szCs w:val="18"/>
              </w:rPr>
              <w:t xml:space="preserve">2</w:t>
            </w:r>
            <w:r>
              <w:rPr>
                <w:rFonts w:ascii="Arial" w:cs="Arial" w:eastAsia="Arial" w:hAnsi="Arial"/>
                <w:sz w:val="18"/>
                <w:szCs w:val="18"/>
              </w:rPr>
              <w:t xml:space="preserve"/>
            </w:r>
          </w:p>
        </w:tc>
        <w:tc>
          <w:tcPr>
            <w:tcW w:type="dxa" w:w="4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pPr>
            <w:r>
              <w:rPr>
                <w:rFonts w:ascii="Arial" w:cs="Arial" w:eastAsia="Arial" w:hAnsi="Arial"/>
                <w:sz w:val="18"/>
                <w:szCs w:val="18"/>
              </w:rPr>
              <w:t xml:space="preserve">Ethics for Oversight</w:t>
            </w:r>
          </w:p>
        </w:tc>
        <w:tc>
          <w:tcPr>
            <w:tcW w:type="dxa" w:w="4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pPr>
            <w:r>
              <w:rPr>
                <w:rFonts w:ascii="Arial" w:cs="Arial" w:eastAsia="Arial" w:hAnsi="Arial"/>
                <w:sz w:val="18"/>
                <w:szCs w:val="18"/>
              </w:rPr>
              <w:t xml:space="preserve">Constitutional and philosophical case</w:t>
            </w:r>
          </w:p>
        </w:tc>
      </w:tr>
      <w:tr>
        <w:tc>
          <w:tcPr>
            <w:tcW w:type="dxa" w:w="168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tcPr>
          <w:p>
            <w:pPr>
              <w:spacing w:after="20"/>
            </w:pPr>
            <w:r>
              <w:rPr>
                <w:rFonts w:ascii="Arial" w:cs="Arial" w:eastAsia="Arial" w:hAnsi="Arial"/>
                <w:sz w:val="18"/>
                <w:szCs w:val="18"/>
              </w:rPr>
              <w:t xml:space="preserve"/>
            </w:r>
            <w:r>
              <w:rPr>
                <w:rFonts w:ascii="Arial" w:cs="Arial" w:eastAsia="Arial" w:hAnsi="Arial"/>
                <w:b/>
                <w:bCs/>
                <w:sz w:val="18"/>
                <w:szCs w:val="18"/>
              </w:rPr>
              <w:t xml:space="preserve">3</w:t>
            </w:r>
            <w:r>
              <w:rPr>
                <w:rFonts w:ascii="Arial" w:cs="Arial" w:eastAsia="Arial" w:hAnsi="Arial"/>
                <w:sz w:val="18"/>
                <w:szCs w:val="18"/>
              </w:rPr>
              <w:t xml:space="preserve"/>
            </w:r>
          </w:p>
        </w:tc>
        <w:tc>
          <w:tcPr>
            <w:tcW w:type="dxa" w:w="42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tcPr>
          <w:p>
            <w:pPr>
              <w:spacing w:after="20"/>
            </w:pPr>
            <w:r>
              <w:rPr>
                <w:rFonts w:ascii="Arial" w:cs="Arial" w:eastAsia="Arial" w:hAnsi="Arial"/>
                <w:sz w:val="18"/>
                <w:szCs w:val="18"/>
              </w:rPr>
              <w:t xml:space="preserve">AI Provider Plurality</w:t>
            </w:r>
          </w:p>
        </w:tc>
        <w:tc>
          <w:tcPr>
            <w:tcW w:type="dxa" w:w="42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tcPr>
          <w:p>
            <w:pPr>
              <w:spacing w:after="20"/>
            </w:pPr>
            <w:r>
              <w:rPr>
                <w:rFonts w:ascii="Arial" w:cs="Arial" w:eastAsia="Arial" w:hAnsi="Arial"/>
                <w:sz w:val="18"/>
                <w:szCs w:val="18"/>
              </w:rPr>
              <w:t xml:space="preserve">Legislative framework, policy mechanism, funding, appropriations</w:t>
            </w:r>
          </w:p>
        </w:tc>
      </w:tr>
      <w:tr>
        <w:tc>
          <w:tcPr>
            <w:tcW w:type="dxa" w:w="16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pPr>
            <w:r>
              <w:rPr>
                <w:rFonts w:ascii="Arial" w:cs="Arial" w:eastAsia="Arial" w:hAnsi="Arial"/>
                <w:sz w:val="18"/>
                <w:szCs w:val="18"/>
              </w:rPr>
              <w:t xml:space="preserve"/>
            </w:r>
            <w:r>
              <w:rPr>
                <w:rFonts w:ascii="Arial" w:cs="Arial" w:eastAsia="Arial" w:hAnsi="Arial"/>
                <w:b/>
                <w:bCs/>
                <w:sz w:val="18"/>
                <w:szCs w:val="18"/>
              </w:rPr>
              <w:t xml:space="preserve">4</w:t>
            </w:r>
            <w:r>
              <w:rPr>
                <w:rFonts w:ascii="Arial" w:cs="Arial" w:eastAsia="Arial" w:hAnsi="Arial"/>
                <w:sz w:val="18"/>
                <w:szCs w:val="18"/>
              </w:rPr>
              <w:t xml:space="preserve"/>
            </w:r>
          </w:p>
        </w:tc>
        <w:tc>
          <w:tcPr>
            <w:tcW w:type="dxa" w:w="4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pPr>
            <w:r>
              <w:rPr>
                <w:rFonts w:ascii="Arial" w:cs="Arial" w:eastAsia="Arial" w:hAnsi="Arial"/>
                <w:sz w:val="18"/>
                <w:szCs w:val="18"/>
              </w:rPr>
              <w:t xml:space="preserve">Methods Addendum (v3.1 locked)</w:t>
            </w:r>
          </w:p>
        </w:tc>
        <w:tc>
          <w:tcPr>
            <w:tcW w:type="dxa" w:w="4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pPr>
            <w:r>
              <w:rPr>
                <w:rFonts w:ascii="Arial" w:cs="Arial" w:eastAsia="Arial" w:hAnsi="Arial"/>
                <w:sz w:val="18"/>
                <w:szCs w:val="18"/>
              </w:rPr>
              <w:t xml:space="preserve">Technical specification and operational evidence</w:t>
            </w:r>
          </w:p>
        </w:tc>
      </w:tr>
    </w:tbl>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AAAAA" w:sz="1"/>
              <w:left w:val="single" w:color="AAAAAA" w:sz="1"/>
              <w:bottom w:val="single" w:color="AAAAAA" w:sz="1"/>
              <w:right w:val="single" w:color="AAAAAA" w:sz="1"/>
            </w:tcBorders>
            <w:shd w:fill="EBF0F7" w:val="clear"/>
            <w:tcMar>
              <w:top w:type="dxa" w:w="100"/>
              <w:left w:type="dxa" w:w="200"/>
              <w:bottom w:type="dxa" w:w="100"/>
              <w:right w:type="dxa" w:w="200"/>
            </w:tcMar>
          </w:tcPr>
          <w:p>
            <w:pPr>
              <w:spacing w:after="60"/>
            </w:pPr>
            <w:r>
              <w:rPr>
                <w:rFonts w:ascii="Arial" w:cs="Arial" w:eastAsia="Arial" w:hAnsi="Arial"/>
                <w:i/>
                <w:iCs/>
                <w:color w:val="1B3A5C"/>
                <w:sz w:val="20"/>
                <w:szCs w:val="20"/>
              </w:rPr>
              <w:t xml:space="preserve">This is a pioneer path, not a finished product. It combines established concerns (Hinton on capability, antitrust on concentration, infrastructure precedent, automation bias research) into one architecture with one goal: safe use of AI for the American public. AI will never be absolute and without risk. The country needs to start.</w:t>
            </w:r>
          </w:p>
        </w:tc>
      </w:tr>
    </w:tbl>
    <w:p>
      <w:pPr>
        <w:spacing w:after="60"/>
      </w:pPr>
    </w:p>
    <w:p>
      <w:pPr>
        <w:jc w:val="center"/>
      </w:pPr>
      <w:r>
        <w:rPr>
          <w:rFonts w:ascii="Arial" w:cs="Arial" w:eastAsia="Arial" w:hAnsi="Arial"/>
          <w:b/>
          <w:bCs/>
          <w:sz w:val="22"/>
          <w:szCs w:val="22"/>
        </w:rPr>
        <w:t xml:space="preserve">Basil C. Puglisi, MPA</w:t>
      </w:r>
    </w:p>
    <w:p>
      <w:pPr>
        <w:jc w:val="center"/>
      </w:pPr>
      <w:r>
        <w:rPr>
          <w:rFonts w:ascii="Arial" w:cs="Arial" w:eastAsia="Arial" w:hAnsi="Arial"/>
          <w:color w:val="555555"/>
          <w:sz w:val="19"/>
          <w:szCs w:val="19"/>
        </w:rPr>
        <w:t xml:space="preserve">me@basilpuglisi.com | basilpuglisi.com | github.com/basilpuglisi/HAIA</w:t>
      </w:r>
    </w:p>
    <w:p>
      <w:pPr>
        <w:spacing w:after="0"/>
        <w:jc w:val="center"/>
      </w:pPr>
      <w:r>
        <w:rPr>
          <w:rFonts w:ascii="Arial" w:cs="Arial" w:eastAsia="Arial" w:hAnsi="Arial"/>
          <w:i/>
          <w:iCs/>
          <w:color w:val="777777"/>
          <w:sz w:val="19"/>
          <w:szCs w:val="19"/>
        </w:rPr>
        <w:t xml:space="preserve">Contact to discuss implementation, draft legislative language, or schedule a briefing.</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5"/>
        <w:szCs w:val="15"/>
      </w:rPr>
      <w:t xml:space="preserve">Basil C. Puglisi, MPA — me@basilpuglisi.com — Page </w:t>
    </w:r>
    <w:r>
      <w:rPr>
        <w:rFonts w:ascii="Arial" w:cs="Arial" w:eastAsia="Arial" w:hAnsi="Arial"/>
        <w:color w:val="888888"/>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5"/>
        <w:szCs w:val="15"/>
      </w:rPr>
      <w:t xml:space="preserve">AI Provider Plurality Congressional Package — Document 1 of 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1B3A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2026-02-08T00:30:38.121Z</dcterms:created>
  <dcterms:modified xsi:type="dcterms:W3CDTF">2026-02-08T00:30:38.122Z</dcterms:modified>
</cp:coreProperties>
</file>

<file path=docProps/custom.xml><?xml version="1.0" encoding="utf-8"?>
<Properties xmlns="http://schemas.openxmlformats.org/officeDocument/2006/custom-properties" xmlns:vt="http://schemas.openxmlformats.org/officeDocument/2006/docPropsVTypes"/>
</file>