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Intrinsic-Time Regime-Adaptive ES Options Strategy</w:t>
      </w:r>
    </w:p>
    <w:p>
      <w:pPr>
        <w:jc w:val="center"/>
      </w:pPr>
      <w:r>
        <w:rPr>
          <w:rFonts w:ascii="Aptos" w:hAnsi="Aptos"/>
          <w:b/>
          <w:color w:val="383838"/>
          <w:sz w:val="26"/>
        </w:rPr>
        <w:t>Institutional Deployment Blueprint, Deterministic Control Architecture,</w:t>
        <w:br/>
        <w:t>and Agentic AI Integration Package</w:t>
      </w:r>
    </w:p>
    <w:p>
      <w:pPr>
        <w:jc w:val="center"/>
      </w:pPr>
      <w:r>
        <w:rPr>
          <w:rFonts w:ascii="Aptos" w:hAnsi="Aptos"/>
          <w:color w:val="5A5A5A"/>
          <w:sz w:val="22"/>
        </w:rPr>
        <w:t>Version 1.0</w:t>
      </w:r>
    </w:p>
    <w:p>
      <w:pPr>
        <w:jc w:val="center"/>
      </w:pPr>
      <w:r>
        <w:rPr>
          <w:rFonts w:ascii="Aptos" w:hAnsi="Aptos"/>
          <w:color w:val="5A5A5A"/>
          <w:sz w:val="22"/>
        </w:rPr>
        <w:t>Prepared for implementation planning</w:t>
      </w:r>
    </w:p>
    <w:p>
      <w:pPr>
        <w:jc w:val="center"/>
      </w:pPr>
      <w:r>
        <w:rPr>
          <w:rFonts w:ascii="Aptos" w:hAnsi="Aptos"/>
          <w:color w:val="5A5A5A"/>
          <w:sz w:val="22"/>
        </w:rPr>
        <w:t>Core principle: the Agent may recommend; only the core trading system may decide and execute.</w:t>
      </w:r>
    </w:p>
    <w:p>
      <w:r>
        <w:br w:type="page"/>
      </w:r>
    </w:p>
    <w:p>
      <w:pPr>
        <w:pStyle w:val="Heading1"/>
      </w:pPr>
      <w:r>
        <w:t>1. Executive summary</w:t>
      </w:r>
    </w:p>
    <w:p>
      <w:pPr>
        <w:spacing w:after="120"/>
      </w:pPr>
      <w:r>
        <w:t>This document consolidates the complete algorithmic trading strategy and the architectural updates discussed across the conversation into a single institutional-grade specification. The strategy trades ES futures options using intrinsic-time market signals, an ADX trend stack, volatility-regime classification, a deterministic rule engine, and an externalized agentic AI orchestration plane.</w:t>
      </w:r>
    </w:p>
    <w:p>
      <w:pPr>
        <w:spacing w:after="120"/>
      </w:pPr>
      <w:r>
        <w:t>The target operating model uses OpenClaw as an external agent orchestrator. OpenClaw receives intrinsic-time signal webhooks, runs signal-specific workflows, gathers context through a separate MCP server, and publishes structured recommendations. The trusted core trading system remains the sole authority for risk checks, candidate construction, position entry and exit, and order execution.</w:t>
      </w:r>
    </w:p>
    <w:p>
      <w:pPr>
        <w:spacing w:after="120"/>
      </w:pPr>
      <w:r>
        <w:t>The design intentionally separates recommendation generation from action authorization. This creates a bounded AI deployment in which the LLM contributes orchestration, judgment, abstention, and explanation, while the rule engine retains deterministic and auditable control over all live trading decisions.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80" w:type="dxa"/>
              <w:bottom w:w="80" w:type="dxa"/>
              <w:end w:w="80" w:type="dxa"/>
            </w:tcMar>
            <w:vAlign w:val="center"/>
          </w:tcPr>
          <w:p>
            <w:r>
              <w:t>Design pillar</w:t>
            </w:r>
          </w:p>
        </w:tc>
        <w:tc>
          <w:tcPr>
            <w:tcW w:type="dxa" w:w="4968"/>
            <w:shd w:fill="D9EAF7"/>
            <w:tcMar>
              <w:top w:w="80" w:type="dxa"/>
              <w:start w:w="80" w:type="dxa"/>
              <w:bottom w:w="80" w:type="dxa"/>
              <w:end w:w="80" w:type="dxa"/>
            </w:tcMar>
            <w:vAlign w:val="center"/>
          </w:tcPr>
          <w:p>
            <w:r>
              <w:t>Implementation decision</w:t>
            </w:r>
          </w:p>
        </w:tc>
      </w:tr>
      <w:tr>
        <w:tc>
          <w:tcPr>
            <w:tcW w:type="dxa" w:w="4968"/>
            <w:tcMar>
              <w:top w:w="80" w:type="dxa"/>
              <w:start w:w="80" w:type="dxa"/>
              <w:bottom w:w="80" w:type="dxa"/>
              <w:end w:w="80" w:type="dxa"/>
            </w:tcMar>
          </w:tcPr>
          <w:p>
            <w:r>
              <w:t>Signal model</w:t>
            </w:r>
          </w:p>
        </w:tc>
        <w:tc>
          <w:tcPr>
            <w:tcW w:type="dxa" w:w="4968"/>
            <w:tcMar>
              <w:top w:w="80" w:type="dxa"/>
              <w:start w:w="80" w:type="dxa"/>
              <w:bottom w:w="80" w:type="dxa"/>
              <w:end w:w="80" w:type="dxa"/>
            </w:tcMar>
          </w:tcPr>
          <w:p>
            <w:r>
              <w:t>Intrinsic-time event stream with fast/core/slow ADX and volatility regime overlays</w:t>
            </w:r>
          </w:p>
        </w:tc>
      </w:tr>
      <w:tr>
        <w:tc>
          <w:tcPr>
            <w:tcW w:type="dxa" w:w="4968"/>
            <w:tcMar>
              <w:top w:w="80" w:type="dxa"/>
              <w:start w:w="80" w:type="dxa"/>
              <w:bottom w:w="80" w:type="dxa"/>
              <w:end w:w="80" w:type="dxa"/>
            </w:tcMar>
          </w:tcPr>
          <w:p>
            <w:r>
              <w:t>Agent orchestration</w:t>
            </w:r>
          </w:p>
        </w:tc>
        <w:tc>
          <w:tcPr>
            <w:tcW w:type="dxa" w:w="4968"/>
            <w:tcMar>
              <w:top w:w="80" w:type="dxa"/>
              <w:start w:w="80" w:type="dxa"/>
              <w:bottom w:w="80" w:type="dxa"/>
              <w:end w:w="80" w:type="dxa"/>
            </w:tcMar>
          </w:tcPr>
          <w:p>
            <w:r>
              <w:t>OpenClaw outside trusted perimeter; signal-specific workflows only</w:t>
            </w:r>
          </w:p>
        </w:tc>
      </w:tr>
      <w:tr>
        <w:tc>
          <w:tcPr>
            <w:tcW w:type="dxa" w:w="4968"/>
            <w:tcMar>
              <w:top w:w="80" w:type="dxa"/>
              <w:start w:w="80" w:type="dxa"/>
              <w:bottom w:w="80" w:type="dxa"/>
              <w:end w:w="80" w:type="dxa"/>
            </w:tcMar>
          </w:tcPr>
          <w:p>
            <w:r>
              <w:t>Tool integration</w:t>
            </w:r>
          </w:p>
        </w:tc>
        <w:tc>
          <w:tcPr>
            <w:tcW w:type="dxa" w:w="4968"/>
            <w:tcMar>
              <w:top w:w="80" w:type="dxa"/>
              <w:start w:w="80" w:type="dxa"/>
              <w:bottom w:w="80" w:type="dxa"/>
              <w:end w:w="80" w:type="dxa"/>
            </w:tcMar>
          </w:tcPr>
          <w:p>
            <w:r>
              <w:t>Separate MCP trading bridge with read-only market/risk tools and recommendation-only writes</w:t>
            </w:r>
          </w:p>
        </w:tc>
      </w:tr>
      <w:tr>
        <w:tc>
          <w:tcPr>
            <w:tcW w:type="dxa" w:w="4968"/>
            <w:tcMar>
              <w:top w:w="80" w:type="dxa"/>
              <w:start w:w="80" w:type="dxa"/>
              <w:bottom w:w="80" w:type="dxa"/>
              <w:end w:w="80" w:type="dxa"/>
            </w:tcMar>
          </w:tcPr>
          <w:p>
            <w:r>
              <w:t>Deterministic action</w:t>
            </w:r>
          </w:p>
        </w:tc>
        <w:tc>
          <w:tcPr>
            <w:tcW w:type="dxa" w:w="4968"/>
            <w:tcMar>
              <w:top w:w="80" w:type="dxa"/>
              <w:start w:w="80" w:type="dxa"/>
              <w:bottom w:w="80" w:type="dxa"/>
              <w:end w:w="80" w:type="dxa"/>
            </w:tcMar>
          </w:tcPr>
          <w:p>
            <w:r>
              <w:t>Core rule engine converts validated recommendations into deterministic trade intents</w:t>
            </w:r>
          </w:p>
        </w:tc>
      </w:tr>
      <w:tr>
        <w:tc>
          <w:tcPr>
            <w:tcW w:type="dxa" w:w="4968"/>
            <w:tcMar>
              <w:top w:w="80" w:type="dxa"/>
              <w:start w:w="80" w:type="dxa"/>
              <w:bottom w:w="80" w:type="dxa"/>
              <w:end w:w="80" w:type="dxa"/>
            </w:tcMar>
          </w:tcPr>
          <w:p>
            <w:r>
              <w:t>Execution authority</w:t>
            </w:r>
          </w:p>
        </w:tc>
        <w:tc>
          <w:tcPr>
            <w:tcW w:type="dxa" w:w="4968"/>
            <w:tcMar>
              <w:top w:w="80" w:type="dxa"/>
              <w:start w:w="80" w:type="dxa"/>
              <w:bottom w:w="80" w:type="dxa"/>
              <w:end w:w="80" w:type="dxa"/>
            </w:tcMar>
          </w:tcPr>
          <w:p>
            <w:r>
              <w:t>OMS/execution router under core control only; no OpenClaw or MCP order tools</w:t>
            </w:r>
          </w:p>
        </w:tc>
      </w:tr>
    </w:tbl>
    <w:p>
      <w:pPr>
        <w:pStyle w:val="Heading1"/>
      </w:pPr>
      <w:r>
        <w:t>2. Scope and objectives</w:t>
      </w:r>
    </w:p>
    <w:p>
      <w:pPr>
        <w:spacing w:after="120"/>
      </w:pPr>
      <w:r>
        <w:t>This specification covers the trading strategy logic, signal taxonomy, architecture, deployment zones, NATS subject plan, MCP tool definitions, message schemas, security controls, deterministic-intent refinement, and delivery package contents required to implement a production-oriented agentic AI trading system.</w:t>
      </w:r>
    </w:p>
    <w:p>
      <w:pPr>
        <w:pStyle w:val="ListBullet"/>
        <w:spacing w:after="40"/>
      </w:pPr>
      <w:r>
        <w:t>Trade ES futures options using a regime-adaptive, intrinsic-time framework.</w:t>
      </w:r>
    </w:p>
    <w:p>
      <w:pPr>
        <w:pStyle w:val="ListBullet"/>
        <w:spacing w:after="40"/>
      </w:pPr>
      <w:r>
        <w:t>Integrate an external agent orchestrator without granting it direct execution power.</w:t>
      </w:r>
    </w:p>
    <w:p>
      <w:pPr>
        <w:pStyle w:val="ListBullet"/>
        <w:spacing w:after="40"/>
      </w:pPr>
      <w:r>
        <w:t>Constrain all live trading actions behind deterministic policy, risk, and portfolio controls.</w:t>
      </w:r>
    </w:p>
    <w:p>
      <w:pPr>
        <w:pStyle w:val="ListBullet"/>
        <w:spacing w:after="40"/>
      </w:pPr>
      <w:r>
        <w:t>Make the system replayable, auditable, and suitable for phased rollout in production.</w:t>
      </w:r>
    </w:p>
    <w:p>
      <w:pPr>
        <w:pStyle w:val="Heading1"/>
      </w:pPr>
      <w:r>
        <w:t>3. Trading strategy specification</w:t>
      </w:r>
    </w:p>
    <w:p>
      <w:pPr>
        <w:pStyle w:val="Heading2"/>
      </w:pPr>
      <w:r>
        <w:t>3.1 Strategy objective</w:t>
      </w:r>
    </w:p>
    <w:p>
      <w:pPr>
        <w:spacing w:after="120"/>
      </w:pPr>
      <w:r>
        <w:t>Capture directional and volatility opportunities in ES futures options while explicitly avoiding unmanaged short-gamma exposure during adverse trend and volatility transitions. The strategy is optimized for disciplined structure selection, rapid regime recognition, and bounded decision-making.</w:t>
      </w:r>
    </w:p>
    <w:p>
      <w:pPr>
        <w:pStyle w:val="Heading2"/>
      </w:pPr>
      <w:r>
        <w:t>3.2 Instruments and allowed structures</w:t>
      </w:r>
    </w:p>
    <w:p>
      <w:pPr>
        <w:pStyle w:val="ListBullet"/>
        <w:spacing w:after="40"/>
      </w:pPr>
      <w:r>
        <w:t>Primary instrument set: ES futures options; ES futures may be referenced for hedging logic if permitted by deterministic policy.</w:t>
      </w:r>
    </w:p>
    <w:p>
      <w:pPr>
        <w:pStyle w:val="ListBullet"/>
        <w:spacing w:after="40"/>
      </w:pPr>
      <w:r>
        <w:t>Permitted structures: symmetric iron condor, broken-wing condor, bull put spread, bear call spread, put debit spread, call debit spread, long volatility structures, and defined-risk substitutes approved by policy.</w:t>
      </w:r>
    </w:p>
    <w:p>
      <w:pPr>
        <w:pStyle w:val="ListBullet"/>
        <w:spacing w:after="40"/>
      </w:pPr>
      <w:r>
        <w:t>Short-premium structures may only be entered in allowed regimes and only after stress-tested deterministic approval.</w:t>
      </w:r>
    </w:p>
    <w:p>
      <w:pPr>
        <w:pStyle w:val="Heading2"/>
      </w:pPr>
      <w:r>
        <w:t>3.3 Time horizon sleeves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Mar>
              <w:top w:w="80" w:type="dxa"/>
              <w:start w:w="80" w:type="dxa"/>
              <w:bottom w:w="80" w:type="dxa"/>
              <w:end w:w="80" w:type="dxa"/>
            </w:tcMar>
          </w:tcPr>
          <w:p>
            <w:r>
              <w:t>Sleeve</w:t>
            </w:r>
          </w:p>
        </w:tc>
        <w:tc>
          <w:tcPr>
            <w:tcW w:type="dxa" w:w="2484"/>
            <w:shd w:fill="D9EAF7"/>
            <w:tcMar>
              <w:top w:w="80" w:type="dxa"/>
              <w:start w:w="80" w:type="dxa"/>
              <w:bottom w:w="80" w:type="dxa"/>
              <w:end w:w="80" w:type="dxa"/>
            </w:tcMar>
          </w:tcPr>
          <w:p>
            <w:r>
              <w:t>Entry DTE</w:t>
            </w:r>
          </w:p>
        </w:tc>
        <w:tc>
          <w:tcPr>
            <w:tcW w:type="dxa" w:w="2484"/>
            <w:shd w:fill="D9EAF7"/>
            <w:tcMar>
              <w:top w:w="80" w:type="dxa"/>
              <w:start w:w="80" w:type="dxa"/>
              <w:bottom w:w="80" w:type="dxa"/>
              <w:end w:w="80" w:type="dxa"/>
            </w:tcMar>
          </w:tcPr>
          <w:p>
            <w:r>
              <w:t>Target hold</w:t>
            </w:r>
          </w:p>
        </w:tc>
        <w:tc>
          <w:tcPr>
            <w:tcW w:type="dxa" w:w="2484"/>
            <w:shd w:fill="D9EAF7"/>
            <w:tcMar>
              <w:top w:w="80" w:type="dxa"/>
              <w:start w:w="80" w:type="dxa"/>
              <w:bottom w:w="80" w:type="dxa"/>
              <w:end w:w="80" w:type="dxa"/>
            </w:tcMar>
          </w:tcPr>
          <w:p>
            <w:r>
              <w:t>Primary use</w:t>
            </w:r>
          </w:p>
        </w:tc>
      </w:tr>
      <w:tr>
        <w:tc>
          <w:tcPr>
            <w:tcW w:type="dxa" w:w="2484"/>
            <w:tcMar>
              <w:top w:w="80" w:type="dxa"/>
              <w:start w:w="80" w:type="dxa"/>
              <w:bottom w:w="80" w:type="dxa"/>
              <w:end w:w="80" w:type="dxa"/>
            </w:tcMar>
          </w:tcPr>
          <w:p>
            <w:r>
              <w:t>Weekly</w:t>
            </w:r>
          </w:p>
        </w:tc>
        <w:tc>
          <w:tcPr>
            <w:tcW w:type="dxa" w:w="2484"/>
            <w:tcMar>
              <w:top w:w="80" w:type="dxa"/>
              <w:start w:w="80" w:type="dxa"/>
              <w:bottom w:w="80" w:type="dxa"/>
              <w:end w:w="80" w:type="dxa"/>
            </w:tcMar>
          </w:tcPr>
          <w:p>
            <w:r>
              <w:t>14–28 days</w:t>
            </w:r>
          </w:p>
        </w:tc>
        <w:tc>
          <w:tcPr>
            <w:tcW w:type="dxa" w:w="2484"/>
            <w:tcMar>
              <w:top w:w="80" w:type="dxa"/>
              <w:start w:w="80" w:type="dxa"/>
              <w:bottom w:w="80" w:type="dxa"/>
              <w:end w:w="80" w:type="dxa"/>
            </w:tcMar>
          </w:tcPr>
          <w:p>
            <w:r>
              <w:t>3–10 days</w:t>
            </w:r>
          </w:p>
        </w:tc>
        <w:tc>
          <w:tcPr>
            <w:tcW w:type="dxa" w:w="2484"/>
            <w:tcMar>
              <w:top w:w="80" w:type="dxa"/>
              <w:start w:w="80" w:type="dxa"/>
              <w:bottom w:w="80" w:type="dxa"/>
              <w:end w:w="80" w:type="dxa"/>
            </w:tcMar>
          </w:tcPr>
          <w:p>
            <w:r>
              <w:t>Shorter theta capture when regime is stable</w:t>
            </w:r>
          </w:p>
        </w:tc>
      </w:tr>
      <w:tr>
        <w:tc>
          <w:tcPr>
            <w:tcW w:type="dxa" w:w="2484"/>
            <w:tcMar>
              <w:top w:w="80" w:type="dxa"/>
              <w:start w:w="80" w:type="dxa"/>
              <w:bottom w:w="80" w:type="dxa"/>
              <w:end w:w="80" w:type="dxa"/>
            </w:tcMar>
          </w:tcPr>
          <w:p>
            <w:r>
              <w:t>Monthly</w:t>
            </w:r>
          </w:p>
        </w:tc>
        <w:tc>
          <w:tcPr>
            <w:tcW w:type="dxa" w:w="2484"/>
            <w:tcMar>
              <w:top w:w="80" w:type="dxa"/>
              <w:start w:w="80" w:type="dxa"/>
              <w:bottom w:w="80" w:type="dxa"/>
              <w:end w:w="80" w:type="dxa"/>
            </w:tcMar>
          </w:tcPr>
          <w:p>
            <w:r>
              <w:t>30–45 days</w:t>
            </w:r>
          </w:p>
        </w:tc>
        <w:tc>
          <w:tcPr>
            <w:tcW w:type="dxa" w:w="2484"/>
            <w:tcMar>
              <w:top w:w="80" w:type="dxa"/>
              <w:start w:w="80" w:type="dxa"/>
              <w:bottom w:w="80" w:type="dxa"/>
              <w:end w:w="80" w:type="dxa"/>
            </w:tcMar>
          </w:tcPr>
          <w:p>
            <w:r>
              <w:t>Up to 30 days</w:t>
            </w:r>
          </w:p>
        </w:tc>
        <w:tc>
          <w:tcPr>
            <w:tcW w:type="dxa" w:w="2484"/>
            <w:tcMar>
              <w:top w:w="80" w:type="dxa"/>
              <w:start w:w="80" w:type="dxa"/>
              <w:bottom w:w="80" w:type="dxa"/>
              <w:end w:w="80" w:type="dxa"/>
            </w:tcMar>
          </w:tcPr>
          <w:p>
            <w:r>
              <w:t>Longer-duration defined-risk opportunities and slower structural themes</w:t>
            </w:r>
          </w:p>
        </w:tc>
      </w:tr>
    </w:tbl>
    <w:p>
      <w:pPr>
        <w:pStyle w:val="Heading2"/>
      </w:pPr>
      <w:r>
        <w:t>3.4 Signal and feature set</w:t>
      </w:r>
    </w:p>
    <w:p>
      <w:pPr>
        <w:pStyle w:val="ListBullet"/>
        <w:spacing w:after="40"/>
      </w:pPr>
      <w:r>
        <w:t>Intrinsic-time directional events and event sequence counts</w:t>
      </w:r>
    </w:p>
    <w:p>
      <w:pPr>
        <w:pStyle w:val="ListBullet"/>
        <w:spacing w:after="40"/>
      </w:pPr>
      <w:r>
        <w:t>ADX fast/core/slow stack and slopes</w:t>
      </w:r>
    </w:p>
    <w:p>
      <w:pPr>
        <w:pStyle w:val="ListBullet"/>
        <w:spacing w:after="40"/>
      </w:pPr>
      <w:r>
        <w:t>ATR and realized volatility expansion</w:t>
      </w:r>
    </w:p>
    <w:p>
      <w:pPr>
        <w:pStyle w:val="ListBullet"/>
        <w:spacing w:after="40"/>
      </w:pPr>
      <w:r>
        <w:t>VIX futures level and front-second month term structure</w:t>
      </w:r>
    </w:p>
    <w:p>
      <w:pPr>
        <w:pStyle w:val="ListBullet"/>
        <w:spacing w:after="40"/>
      </w:pPr>
      <w:r>
        <w:t>Options skew, Greeks, liquidity, and expected move</w:t>
      </w:r>
    </w:p>
    <w:p>
      <w:pPr>
        <w:pStyle w:val="ListBullet"/>
        <w:spacing w:after="40"/>
      </w:pPr>
      <w:r>
        <w:t>GPU-priced forward loss and CVaR estimates</w:t>
      </w:r>
    </w:p>
    <w:p>
      <w:pPr>
        <w:pStyle w:val="ListBullet"/>
        <w:spacing w:after="40"/>
      </w:pPr>
      <w:r>
        <w:t>Portfolio Greek state, concentration, and current open-position context</w:t>
      </w:r>
    </w:p>
    <w:p>
      <w:pPr>
        <w:pStyle w:val="Heading1"/>
      </w:pPr>
      <w:r>
        <w:t>4. Regime framework</w:t>
      </w:r>
    </w:p>
    <w:p>
      <w:pPr>
        <w:pStyle w:val="Heading2"/>
      </w:pPr>
      <w:r>
        <w:t>4.1 Trend regime</w:t>
      </w:r>
    </w:p>
    <w:p>
      <w:pPr>
        <w:spacing w:after="120"/>
      </w:pPr>
      <w:r>
        <w:t>ADX core is the primary trend-regime switch, ADX slow is the stability filter, and ADX fast captures transition pressure. The stack is computed on intrinsic-time bars rather than clock-time bars.</w:t>
      </w:r>
    </w:p>
    <w:p>
      <w:pPr>
        <w:spacing w:after="120"/>
      </w:pPr>
      <w:r>
        <w:t>Baseline interpretation: ADX core &lt; 20 indicates range or weak trend; ADX core 20–30 indicates developing trend; ADX core &gt; 30 indicates strong trend. ADX slow confirms persistence, while a sharply rising ADX fast is treated as an early warning of trend acceleration or transition.</w:t>
      </w:r>
    </w:p>
    <w:p>
      <w:pPr>
        <w:pStyle w:val="Heading2"/>
      </w:pPr>
      <w:r>
        <w:t>4.2 Volatility regime</w:t>
      </w:r>
    </w:p>
    <w:p>
      <w:pPr>
        <w:spacing w:after="120"/>
      </w:pPr>
      <w:r>
        <w:t>VIX futures level classifies volatility into low (&lt;12), normal (12–20), high (20–30), and extreme (&gt;=30).</w:t>
      </w:r>
    </w:p>
    <w:p>
      <w:pPr>
        <w:spacing w:after="120"/>
      </w:pPr>
      <w:r>
        <w:t>Term structure is independently classified into contango, flat, or backwardation. Short-premium eligibility requires both the level and the term-structure context to be acceptable.</w:t>
      </w:r>
    </w:p>
    <w:p>
      <w:pPr>
        <w:pStyle w:val="Heading2"/>
      </w:pPr>
      <w:r>
        <w:t>4.3 Transition regime</w:t>
      </w:r>
    </w:p>
    <w:p>
      <w:pPr>
        <w:spacing w:after="120"/>
      </w:pPr>
      <w:r>
        <w:t>A transition flag is raised when one or more of the following is detected: rising ADX fast from a low base, ATR expansion beyond threshold, VIX regime jump, or term-structure deterioration toward backwardation.</w:t>
      </w:r>
    </w:p>
    <w:p>
      <w:pPr>
        <w:spacing w:after="120"/>
      </w:pPr>
      <w:r>
        <w:t>Transition flags explicitly suppress neutral short-gamma entries and tighten exit logic for existing positions.</w:t>
      </w:r>
    </w:p>
    <w:p>
      <w:pPr>
        <w:pStyle w:val="Heading1"/>
      </w:pPr>
      <w:r>
        <w:t>5. Strategy family mapping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Mar>
              <w:top w:w="80" w:type="dxa"/>
              <w:start w:w="80" w:type="dxa"/>
              <w:bottom w:w="80" w:type="dxa"/>
              <w:end w:w="80" w:type="dxa"/>
            </w:tcMar>
          </w:tcPr>
          <w:p>
            <w:r>
              <w:t>Detected state</w:t>
            </w:r>
          </w:p>
        </w:tc>
        <w:tc>
          <w:tcPr>
            <w:tcW w:type="dxa" w:w="2484"/>
            <w:shd w:fill="D9EAF7"/>
            <w:tcMar>
              <w:top w:w="80" w:type="dxa"/>
              <w:start w:w="80" w:type="dxa"/>
              <w:bottom w:w="80" w:type="dxa"/>
              <w:end w:w="80" w:type="dxa"/>
            </w:tcMar>
          </w:tcPr>
          <w:p>
            <w:r>
              <w:t>Short-vol allowed?</w:t>
            </w:r>
          </w:p>
        </w:tc>
        <w:tc>
          <w:tcPr>
            <w:tcW w:type="dxa" w:w="2484"/>
            <w:shd w:fill="D9EAF7"/>
            <w:tcMar>
              <w:top w:w="80" w:type="dxa"/>
              <w:start w:w="80" w:type="dxa"/>
              <w:bottom w:w="80" w:type="dxa"/>
              <w:end w:w="80" w:type="dxa"/>
            </w:tcMar>
          </w:tcPr>
          <w:p>
            <w:r>
              <w:t>Preferred family</w:t>
            </w:r>
          </w:p>
        </w:tc>
        <w:tc>
          <w:tcPr>
            <w:tcW w:type="dxa" w:w="2484"/>
            <w:shd w:fill="D9EAF7"/>
            <w:tcMar>
              <w:top w:w="80" w:type="dxa"/>
              <w:start w:w="80" w:type="dxa"/>
              <w:bottom w:w="80" w:type="dxa"/>
              <w:end w:w="80" w:type="dxa"/>
            </w:tcMar>
          </w:tcPr>
          <w:p>
            <w:r>
              <w:t>Notes</w:t>
            </w:r>
          </w:p>
        </w:tc>
      </w:tr>
      <w:tr>
        <w:tc>
          <w:tcPr>
            <w:tcW w:type="dxa" w:w="2484"/>
            <w:tcMar>
              <w:top w:w="80" w:type="dxa"/>
              <w:start w:w="80" w:type="dxa"/>
              <w:bottom w:w="80" w:type="dxa"/>
              <w:end w:w="80" w:type="dxa"/>
            </w:tcMar>
          </w:tcPr>
          <w:p>
            <w:r>
              <w:t>Range + normal vol + contango</w:t>
            </w:r>
          </w:p>
        </w:tc>
        <w:tc>
          <w:tcPr>
            <w:tcW w:type="dxa" w:w="2484"/>
            <w:tcMar>
              <w:top w:w="80" w:type="dxa"/>
              <w:start w:w="80" w:type="dxa"/>
              <w:bottom w:w="80" w:type="dxa"/>
              <w:end w:w="80" w:type="dxa"/>
            </w:tcMar>
          </w:tcPr>
          <w:p>
            <w:r>
              <w:t>Yes</w:t>
            </w:r>
          </w:p>
        </w:tc>
        <w:tc>
          <w:tcPr>
            <w:tcW w:type="dxa" w:w="2484"/>
            <w:tcMar>
              <w:top w:w="80" w:type="dxa"/>
              <w:start w:w="80" w:type="dxa"/>
              <w:bottom w:w="80" w:type="dxa"/>
              <w:end w:w="80" w:type="dxa"/>
            </w:tcMar>
          </w:tcPr>
          <w:p>
            <w:r>
              <w:t>Iron condor</w:t>
            </w:r>
          </w:p>
        </w:tc>
        <w:tc>
          <w:tcPr>
            <w:tcW w:type="dxa" w:w="2484"/>
            <w:tcMar>
              <w:top w:w="80" w:type="dxa"/>
              <w:start w:w="80" w:type="dxa"/>
              <w:bottom w:w="80" w:type="dxa"/>
              <w:end w:w="80" w:type="dxa"/>
            </w:tcMar>
          </w:tcPr>
          <w:p>
            <w:r>
              <w:t>Primary neutral income regime</w:t>
            </w:r>
          </w:p>
        </w:tc>
      </w:tr>
      <w:tr>
        <w:tc>
          <w:tcPr>
            <w:tcW w:type="dxa" w:w="2484"/>
            <w:tcMar>
              <w:top w:w="80" w:type="dxa"/>
              <w:start w:w="80" w:type="dxa"/>
              <w:bottom w:w="80" w:type="dxa"/>
              <w:end w:w="80" w:type="dxa"/>
            </w:tcMar>
          </w:tcPr>
          <w:p>
            <w:r>
              <w:t>Range + high vol but stable</w:t>
            </w:r>
          </w:p>
        </w:tc>
        <w:tc>
          <w:tcPr>
            <w:tcW w:type="dxa" w:w="2484"/>
            <w:tcMar>
              <w:top w:w="80" w:type="dxa"/>
              <w:start w:w="80" w:type="dxa"/>
              <w:bottom w:w="80" w:type="dxa"/>
              <w:end w:w="80" w:type="dxa"/>
            </w:tcMar>
          </w:tcPr>
          <w:p>
            <w:r>
              <w:t>Reduced</w:t>
            </w:r>
          </w:p>
        </w:tc>
        <w:tc>
          <w:tcPr>
            <w:tcW w:type="dxa" w:w="2484"/>
            <w:tcMar>
              <w:top w:w="80" w:type="dxa"/>
              <w:start w:w="80" w:type="dxa"/>
              <w:bottom w:w="80" w:type="dxa"/>
              <w:end w:w="80" w:type="dxa"/>
            </w:tcMar>
          </w:tcPr>
          <w:p>
            <w:r>
              <w:t>Broken-wing or wider condor</w:t>
            </w:r>
          </w:p>
        </w:tc>
        <w:tc>
          <w:tcPr>
            <w:tcW w:type="dxa" w:w="2484"/>
            <w:tcMar>
              <w:top w:w="80" w:type="dxa"/>
              <w:start w:w="80" w:type="dxa"/>
              <w:bottom w:w="80" w:type="dxa"/>
              <w:end w:w="80" w:type="dxa"/>
            </w:tcMar>
          </w:tcPr>
          <w:p>
            <w:r>
              <w:t>Smaller size and tighter exits</w:t>
            </w:r>
          </w:p>
        </w:tc>
      </w:tr>
      <w:tr>
        <w:tc>
          <w:tcPr>
            <w:tcW w:type="dxa" w:w="2484"/>
            <w:tcMar>
              <w:top w:w="80" w:type="dxa"/>
              <w:start w:w="80" w:type="dxa"/>
              <w:bottom w:w="80" w:type="dxa"/>
              <w:end w:w="80" w:type="dxa"/>
            </w:tcMar>
          </w:tcPr>
          <w:p>
            <w:r>
              <w:t>Bull trend</w:t>
            </w:r>
          </w:p>
        </w:tc>
        <w:tc>
          <w:tcPr>
            <w:tcW w:type="dxa" w:w="2484"/>
            <w:tcMar>
              <w:top w:w="80" w:type="dxa"/>
              <w:start w:w="80" w:type="dxa"/>
              <w:bottom w:w="80" w:type="dxa"/>
              <w:end w:w="80" w:type="dxa"/>
            </w:tcMar>
          </w:tcPr>
          <w:p>
            <w:r>
              <w:t>Conditional</w:t>
            </w:r>
          </w:p>
        </w:tc>
        <w:tc>
          <w:tcPr>
            <w:tcW w:type="dxa" w:w="2484"/>
            <w:tcMar>
              <w:top w:w="80" w:type="dxa"/>
              <w:start w:w="80" w:type="dxa"/>
              <w:bottom w:w="80" w:type="dxa"/>
              <w:end w:w="80" w:type="dxa"/>
            </w:tcMar>
          </w:tcPr>
          <w:p>
            <w:r>
              <w:t>Bullish credit/debit</w:t>
            </w:r>
          </w:p>
        </w:tc>
        <w:tc>
          <w:tcPr>
            <w:tcW w:type="dxa" w:w="2484"/>
            <w:tcMar>
              <w:top w:w="80" w:type="dxa"/>
              <w:start w:w="80" w:type="dxa"/>
              <w:bottom w:w="80" w:type="dxa"/>
              <w:end w:w="80" w:type="dxa"/>
            </w:tcMar>
          </w:tcPr>
          <w:p>
            <w:r>
              <w:t>No neutral condor</w:t>
            </w:r>
          </w:p>
        </w:tc>
      </w:tr>
      <w:tr>
        <w:tc>
          <w:tcPr>
            <w:tcW w:type="dxa" w:w="2484"/>
            <w:tcMar>
              <w:top w:w="80" w:type="dxa"/>
              <w:start w:w="80" w:type="dxa"/>
              <w:bottom w:w="80" w:type="dxa"/>
              <w:end w:w="80" w:type="dxa"/>
            </w:tcMar>
          </w:tcPr>
          <w:p>
            <w:r>
              <w:t>Bear trend</w:t>
            </w:r>
          </w:p>
        </w:tc>
        <w:tc>
          <w:tcPr>
            <w:tcW w:type="dxa" w:w="2484"/>
            <w:tcMar>
              <w:top w:w="80" w:type="dxa"/>
              <w:start w:w="80" w:type="dxa"/>
              <w:bottom w:w="80" w:type="dxa"/>
              <w:end w:w="80" w:type="dxa"/>
            </w:tcMar>
          </w:tcPr>
          <w:p>
            <w:r>
              <w:t>Conditional</w:t>
            </w:r>
          </w:p>
        </w:tc>
        <w:tc>
          <w:tcPr>
            <w:tcW w:type="dxa" w:w="2484"/>
            <w:tcMar>
              <w:top w:w="80" w:type="dxa"/>
              <w:start w:w="80" w:type="dxa"/>
              <w:bottom w:w="80" w:type="dxa"/>
              <w:end w:w="80" w:type="dxa"/>
            </w:tcMar>
          </w:tcPr>
          <w:p>
            <w:r>
              <w:t>Bearish credit/debit</w:t>
            </w:r>
          </w:p>
        </w:tc>
        <w:tc>
          <w:tcPr>
            <w:tcW w:type="dxa" w:w="2484"/>
            <w:tcMar>
              <w:top w:w="80" w:type="dxa"/>
              <w:start w:w="80" w:type="dxa"/>
              <w:bottom w:w="80" w:type="dxa"/>
              <w:end w:w="80" w:type="dxa"/>
            </w:tcMar>
          </w:tcPr>
          <w:p>
            <w:r>
              <w:t>No bought iron condor</w:t>
            </w:r>
          </w:p>
        </w:tc>
      </w:tr>
      <w:tr>
        <w:tc>
          <w:tcPr>
            <w:tcW w:type="dxa" w:w="2484"/>
            <w:tcMar>
              <w:top w:w="80" w:type="dxa"/>
              <w:start w:w="80" w:type="dxa"/>
              <w:bottom w:w="80" w:type="dxa"/>
              <w:end w:w="80" w:type="dxa"/>
            </w:tcMar>
          </w:tcPr>
          <w:p>
            <w:r>
              <w:t>Strong trend + high vol</w:t>
            </w:r>
          </w:p>
        </w:tc>
        <w:tc>
          <w:tcPr>
            <w:tcW w:type="dxa" w:w="2484"/>
            <w:tcMar>
              <w:top w:w="80" w:type="dxa"/>
              <w:start w:w="80" w:type="dxa"/>
              <w:bottom w:w="80" w:type="dxa"/>
              <w:end w:w="80" w:type="dxa"/>
            </w:tcMar>
          </w:tcPr>
          <w:p>
            <w:r>
              <w:t>Usually no short vol</w:t>
            </w:r>
          </w:p>
        </w:tc>
        <w:tc>
          <w:tcPr>
            <w:tcW w:type="dxa" w:w="2484"/>
            <w:tcMar>
              <w:top w:w="80" w:type="dxa"/>
              <w:start w:w="80" w:type="dxa"/>
              <w:bottom w:w="80" w:type="dxa"/>
              <w:end w:w="80" w:type="dxa"/>
            </w:tcMar>
          </w:tcPr>
          <w:p>
            <w:r>
              <w:t>Directional debit or long vol</w:t>
            </w:r>
          </w:p>
        </w:tc>
        <w:tc>
          <w:tcPr>
            <w:tcW w:type="dxa" w:w="2484"/>
            <w:tcMar>
              <w:top w:w="80" w:type="dxa"/>
              <w:start w:w="80" w:type="dxa"/>
              <w:bottom w:w="80" w:type="dxa"/>
              <w:end w:w="80" w:type="dxa"/>
            </w:tcMar>
          </w:tcPr>
          <w:p>
            <w:r>
              <w:t>Preserve convexity</w:t>
            </w:r>
          </w:p>
        </w:tc>
      </w:tr>
      <w:tr>
        <w:tc>
          <w:tcPr>
            <w:tcW w:type="dxa" w:w="2484"/>
            <w:tcMar>
              <w:top w:w="80" w:type="dxa"/>
              <w:start w:w="80" w:type="dxa"/>
              <w:bottom w:w="80" w:type="dxa"/>
              <w:end w:w="80" w:type="dxa"/>
            </w:tcMar>
          </w:tcPr>
          <w:p>
            <w:r>
              <w:t>Extreme vol / backwardation</w:t>
            </w:r>
          </w:p>
        </w:tc>
        <w:tc>
          <w:tcPr>
            <w:tcW w:type="dxa" w:w="2484"/>
            <w:tcMar>
              <w:top w:w="80" w:type="dxa"/>
              <w:start w:w="80" w:type="dxa"/>
              <w:bottom w:w="80" w:type="dxa"/>
              <w:end w:w="80" w:type="dxa"/>
            </w:tcMar>
          </w:tcPr>
          <w:p>
            <w:r>
              <w:t>No</w:t>
            </w:r>
          </w:p>
        </w:tc>
        <w:tc>
          <w:tcPr>
            <w:tcW w:type="dxa" w:w="2484"/>
            <w:tcMar>
              <w:top w:w="80" w:type="dxa"/>
              <w:start w:w="80" w:type="dxa"/>
              <w:bottom w:w="80" w:type="dxa"/>
              <w:end w:w="80" w:type="dxa"/>
            </w:tcMar>
          </w:tcPr>
          <w:p>
            <w:r>
              <w:t>Long vol or no trade</w:t>
            </w:r>
          </w:p>
        </w:tc>
        <w:tc>
          <w:tcPr>
            <w:tcW w:type="dxa" w:w="2484"/>
            <w:tcMar>
              <w:top w:w="80" w:type="dxa"/>
              <w:start w:w="80" w:type="dxa"/>
              <w:bottom w:w="80" w:type="dxa"/>
              <w:end w:w="80" w:type="dxa"/>
            </w:tcMar>
          </w:tcPr>
          <w:p>
            <w:r>
              <w:t>Protect capital first</w:t>
            </w:r>
          </w:p>
        </w:tc>
      </w:tr>
    </w:tbl>
    <w:p>
      <w:pPr>
        <w:pStyle w:val="Heading1"/>
      </w:pPr>
      <w:r>
        <w:t>6. ADX stack implementation</w:t>
      </w:r>
    </w:p>
    <w:p>
      <w:pPr>
        <w:spacing w:after="120"/>
      </w:pPr>
      <w:r>
        <w:t>Primary recommended configuration: ADX fast 7–10, ADX core 14–20, ADX slow 30–50, all computed on intrinsic-time bars. ADX core drives regime, ADX slow confirms persistence, and ADX fast plus slope governs transition awareness and exit urgency.</w:t>
      </w:r>
    </w:p>
    <w:p>
      <w:pPr>
        <w:spacing w:after="120"/>
      </w:pPr>
      <w:r>
        <w:t>Condor eligibility should require contained ADX fast, ADX core below the trend threshold, and ADX slow below persistence threshold. A rising ADX fast against an open short-vol position is an exit-review trigger even before the core threshold is crossed.</w:t>
      </w:r>
    </w:p>
    <w:p>
      <w:pPr>
        <w:spacing w:after="120"/>
      </w:pPr>
      <w:r>
        <w:t>Adaptive periods may be introduced later, but the production baseline should start with fixed parameters until stability, replay, and governance are proven.</w:t>
      </w:r>
    </w:p>
    <w:p>
      <w:pPr>
        <w:pStyle w:val="Heading1"/>
      </w:pPr>
      <w:r>
        <w:t>7. Risk management</w:t>
      </w:r>
    </w:p>
    <w:p>
      <w:pPr>
        <w:pStyle w:val="Heading2"/>
      </w:pPr>
      <w:r>
        <w:t>7.1 Per-trade controls</w:t>
      </w:r>
    </w:p>
    <w:p>
      <w:pPr>
        <w:pStyle w:val="ListBullet"/>
        <w:spacing w:after="40"/>
      </w:pPr>
      <w:r>
        <w:t>Maximum defined loss by structure and sleeve</w:t>
      </w:r>
    </w:p>
    <w:p>
      <w:pPr>
        <w:pStyle w:val="ListBullet"/>
        <w:spacing w:after="40"/>
      </w:pPr>
      <w:r>
        <w:t>CVaR threshold and probability-of-loss ceiling</w:t>
      </w:r>
    </w:p>
    <w:p>
      <w:pPr>
        <w:pStyle w:val="ListBullet"/>
        <w:spacing w:after="40"/>
      </w:pPr>
      <w:r>
        <w:t>Gap stress and volatility-expansion stress rejection rules</w:t>
      </w:r>
    </w:p>
    <w:p>
      <w:pPr>
        <w:pStyle w:val="ListBullet"/>
        <w:spacing w:after="40"/>
      </w:pPr>
      <w:r>
        <w:t>Liquidity and estimated slippage limits</w:t>
      </w:r>
    </w:p>
    <w:p>
      <w:pPr>
        <w:pStyle w:val="ListBullet"/>
        <w:spacing w:after="40"/>
      </w:pPr>
      <w:r>
        <w:t>Freshness validation of all signal and market snapshots before order authorization</w:t>
      </w:r>
    </w:p>
    <w:p>
      <w:pPr>
        <w:pStyle w:val="Heading2"/>
      </w:pPr>
      <w:r>
        <w:t>7.2 Portfolio controls</w:t>
      </w:r>
    </w:p>
    <w:p>
      <w:pPr>
        <w:pStyle w:val="ListBullet"/>
        <w:spacing w:after="40"/>
      </w:pPr>
      <w:r>
        <w:t>Net delta, gamma, vega, and theta budget</w:t>
      </w:r>
    </w:p>
    <w:p>
      <w:pPr>
        <w:pStyle w:val="ListBullet"/>
        <w:spacing w:after="40"/>
      </w:pPr>
      <w:r>
        <w:t>Weekly versus monthly sleeve allocation caps</w:t>
      </w:r>
    </w:p>
    <w:p>
      <w:pPr>
        <w:pStyle w:val="ListBullet"/>
        <w:spacing w:after="40"/>
      </w:pPr>
      <w:r>
        <w:t>Regime concentration caps and expiry-bucket concentration limits</w:t>
      </w:r>
    </w:p>
    <w:p>
      <w:pPr>
        <w:pStyle w:val="ListBullet"/>
        <w:spacing w:after="40"/>
      </w:pPr>
      <w:r>
        <w:t>Kill switch on volatility stress, data corruption, risk-service degradation, or execution anomalies</w:t>
      </w:r>
    </w:p>
    <w:p>
      <w:pPr>
        <w:pStyle w:val="Heading2"/>
      </w:pPr>
      <w:r>
        <w:t>7.3 Dynamic exits</w:t>
      </w:r>
    </w:p>
    <w:p>
      <w:pPr>
        <w:pStyle w:val="ListBullet"/>
        <w:spacing w:after="40"/>
      </w:pPr>
      <w:r>
        <w:t>Profit target and time stop</w:t>
      </w:r>
    </w:p>
    <w:p>
      <w:pPr>
        <w:pStyle w:val="ListBullet"/>
        <w:spacing w:after="40"/>
      </w:pPr>
      <w:r>
        <w:t>Exit on ADX fast or core transitions against the position</w:t>
      </w:r>
    </w:p>
    <w:p>
      <w:pPr>
        <w:pStyle w:val="ListBullet"/>
        <w:spacing w:after="40"/>
      </w:pPr>
      <w:r>
        <w:t>Exit or reduce on extreme volatility or backwardation for short-vol positions</w:t>
      </w:r>
    </w:p>
    <w:p>
      <w:pPr>
        <w:pStyle w:val="ListBullet"/>
        <w:spacing w:after="40"/>
      </w:pPr>
      <w:r>
        <w:t>Exit on thesis invalidation, stale recommendation, or live risk breach</w:t>
      </w:r>
    </w:p>
    <w:p>
      <w:pPr>
        <w:pStyle w:val="Heading1"/>
      </w:pPr>
      <w:r>
        <w:t>8. Role of the Agent</w:t>
      </w:r>
    </w:p>
    <w:p>
      <w:pPr>
        <w:spacing w:after="120"/>
      </w:pPr>
      <w:r>
        <w:t>The LLM is elevated from a narrow veto filter to a bounded agentic AI orchestrator. Its purpose is not to trade directly, but to receive intrinsic-time signals, gather context, run signal-specific tasks, and issue machine-readable recommendations.</w:t>
      </w:r>
    </w:p>
    <w:p>
      <w:pPr>
        <w:spacing w:after="120"/>
      </w:pPr>
      <w:r>
        <w:t>The Agent may judge, abstain, rank broad strategy families, and explain. It may not size, authorize, or execute. The rule engine remains the sole deterministic decision-maker.</w:t>
      </w:r>
    </w:p>
    <w:p>
      <w:pPr>
        <w:spacing w:after="120"/>
      </w:pPr>
      <w:r>
        <w:t>OpenClaw is used as the orchestration plane and must be treated as an external control surface outside the trusted execution boundary.</w:t>
      </w:r>
    </w:p>
    <w:p>
      <w:pPr>
        <w:pStyle w:val="Heading1"/>
      </w:pPr>
      <w:r>
        <w:t>9. OpenClaw orchestration model</w:t>
      </w:r>
    </w:p>
    <w:p>
      <w:pPr>
        <w:pStyle w:val="Heading2"/>
      </w:pPr>
      <w:r>
        <w:t>9.1 Signal-triggered workflows</w:t>
      </w:r>
    </w:p>
    <w:p>
      <w:pPr>
        <w:spacing w:after="120"/>
      </w:pPr>
      <w:r>
        <w:t>Every intrinsic-time signal is posted to OpenClaw by webhook using a minimal immutable payload: signal id, signal type, symbol, event time, intrinsic sequence, and correlation id.</w:t>
      </w:r>
    </w:p>
    <w:p>
      <w:pPr>
        <w:spacing w:after="120"/>
      </w:pPr>
      <w:r>
        <w:t>OpenClaw selects a workflow based on signal type and runs task-specific agents. Required context is fetched from the separate MCP trading bridge rather than embedded in the signal.</w:t>
      </w:r>
    </w:p>
    <w:p>
      <w:pPr>
        <w:pStyle w:val="Heading2"/>
      </w:pPr>
      <w:r>
        <w:t>9.2 Task families</w:t>
      </w:r>
    </w:p>
    <w:p>
      <w:pPr>
        <w:spacing w:after="120"/>
      </w:pPr>
      <w:r>
        <w:t>Range workflow: determine whether a neutral or broken-wing condor family is even eligible.</w:t>
      </w:r>
    </w:p>
    <w:p>
      <w:pPr>
        <w:spacing w:after="120"/>
      </w:pPr>
      <w:r>
        <w:t>Bull workflow: determine whether a bullish credit or bullish debit family is more appropriate.</w:t>
      </w:r>
    </w:p>
    <w:p>
      <w:pPr>
        <w:spacing w:after="120"/>
      </w:pPr>
      <w:r>
        <w:t>Bear workflow: determine whether a bearish credit or bearish debit family is more appropriate.</w:t>
      </w:r>
    </w:p>
    <w:p>
      <w:pPr>
        <w:spacing w:after="120"/>
      </w:pPr>
      <w:r>
        <w:t>Transition workflow: evaluate risk to existing positions and whether the system should reduce, exit, or abstain from new entries.</w:t>
      </w:r>
    </w:p>
    <w:p>
      <w:pPr>
        <w:spacing w:after="120"/>
      </w:pPr>
      <w:r>
        <w:t>Volatility expansion workflow: decide whether short-vol strategies should be disabled in favor of no-trade or long-vol posture.</w:t>
      </w:r>
    </w:p>
    <w:p>
      <w:pPr>
        <w:spacing w:after="120"/>
      </w:pPr>
      <w:r>
        <w:t>Exit review workflow: analyze whether an open position's original thesis remains valid.</w:t>
      </w:r>
    </w:p>
    <w:p>
      <w:pPr>
        <w:pStyle w:val="Heading2"/>
      </w:pPr>
      <w:r>
        <w:t>9.3 Output contract</w:t>
      </w:r>
    </w:p>
    <w:p>
      <w:pPr>
        <w:spacing w:after="120"/>
      </w:pPr>
      <w:r>
        <w:t>OpenClaw publishes structured recommendations only. Free text may accompany the message for observability, but the core system consumes machine-readable fields only.</w:t>
      </w:r>
    </w:p>
    <w:p>
      <w:pPr>
        <w:pStyle w:val="Heading1"/>
      </w:pPr>
      <w:r>
        <w:t>10. Deterministic-intent refinement</w:t>
      </w:r>
    </w:p>
    <w:p>
      <w:pPr>
        <w:spacing w:after="120"/>
      </w:pPr>
      <w:r>
        <w:t>A dedicated Deterministic Intent Service is introduced inside the core trading plane. This is the key architectural refinement that separates recommendation handling from action creation.</w:t>
      </w:r>
    </w:p>
    <w:p>
      <w:pPr>
        <w:spacing w:after="120"/>
      </w:pPr>
      <w:r>
        <w:t>Recommendation intake, schema validation, signature checks, freshness checks, and model/workflow allowlists occur before any recommendation is allowed to influence live trade logic. Once validated, the rule engine converts a recommendation into a TradeIntent or ExitIntent.</w:t>
      </w:r>
    </w:p>
    <w:p>
      <w:pPr>
        <w:spacing w:after="120"/>
      </w:pPr>
      <w:r>
        <w:t>Candidate generation, strike selection, expiry selection, sizing, and exact order semantics occur after intent creation, entirely inside the deterministic core. This preserves auditability, simplifies replay, and prevents the Agent from ever deciding exact trade legs.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80" w:type="dxa"/>
              <w:bottom w:w="80" w:type="dxa"/>
              <w:end w:w="80" w:type="dxa"/>
            </w:tcMar>
          </w:tcPr>
          <w:p>
            <w:r>
              <w:t>Stage</w:t>
            </w:r>
          </w:p>
        </w:tc>
        <w:tc>
          <w:tcPr>
            <w:tcW w:type="dxa" w:w="3312"/>
            <w:shd w:fill="D9EAF7"/>
            <w:tcMar>
              <w:top w:w="80" w:type="dxa"/>
              <w:start w:w="80" w:type="dxa"/>
              <w:bottom w:w="80" w:type="dxa"/>
              <w:end w:w="80" w:type="dxa"/>
            </w:tcMar>
          </w:tcPr>
          <w:p>
            <w:r>
              <w:t>Owner</w:t>
            </w:r>
          </w:p>
        </w:tc>
        <w:tc>
          <w:tcPr>
            <w:tcW w:type="dxa" w:w="3312"/>
            <w:shd w:fill="D9EAF7"/>
            <w:tcMar>
              <w:top w:w="80" w:type="dxa"/>
              <w:start w:w="80" w:type="dxa"/>
              <w:bottom w:w="80" w:type="dxa"/>
              <w:end w:w="80" w:type="dxa"/>
            </w:tcMar>
          </w:tcPr>
          <w:p>
            <w:r>
              <w:t>Output</w:t>
            </w:r>
          </w:p>
        </w:tc>
      </w:tr>
      <w:tr>
        <w:tc>
          <w:tcPr>
            <w:tcW w:type="dxa" w:w="3312"/>
            <w:tcMar>
              <w:top w:w="80" w:type="dxa"/>
              <w:start w:w="80" w:type="dxa"/>
              <w:bottom w:w="80" w:type="dxa"/>
              <w:end w:w="80" w:type="dxa"/>
            </w:tcMar>
          </w:tcPr>
          <w:p>
            <w:r>
              <w:t>Recommendation intake</w:t>
            </w:r>
          </w:p>
        </w:tc>
        <w:tc>
          <w:tcPr>
            <w:tcW w:type="dxa" w:w="3312"/>
            <w:tcMar>
              <w:top w:w="80" w:type="dxa"/>
              <w:start w:w="80" w:type="dxa"/>
              <w:bottom w:w="80" w:type="dxa"/>
              <w:end w:w="80" w:type="dxa"/>
            </w:tcMar>
          </w:tcPr>
          <w:p>
            <w:r>
              <w:t>Policy firewall</w:t>
            </w:r>
          </w:p>
        </w:tc>
        <w:tc>
          <w:tcPr>
            <w:tcW w:type="dxa" w:w="3312"/>
            <w:tcMar>
              <w:top w:w="80" w:type="dxa"/>
              <w:start w:w="80" w:type="dxa"/>
              <w:bottom w:w="80" w:type="dxa"/>
              <w:end w:w="80" w:type="dxa"/>
            </w:tcMar>
          </w:tcPr>
          <w:p>
            <w:r>
              <w:t>Validated recommendation or rejection</w:t>
            </w:r>
          </w:p>
        </w:tc>
      </w:tr>
      <w:tr>
        <w:tc>
          <w:tcPr>
            <w:tcW w:type="dxa" w:w="3312"/>
            <w:tcMar>
              <w:top w:w="80" w:type="dxa"/>
              <w:start w:w="80" w:type="dxa"/>
              <w:bottom w:w="80" w:type="dxa"/>
              <w:end w:w="80" w:type="dxa"/>
            </w:tcMar>
          </w:tcPr>
          <w:p>
            <w:r>
              <w:t>Deterministic conversion</w:t>
            </w:r>
          </w:p>
        </w:tc>
        <w:tc>
          <w:tcPr>
            <w:tcW w:type="dxa" w:w="3312"/>
            <w:tcMar>
              <w:top w:w="80" w:type="dxa"/>
              <w:start w:w="80" w:type="dxa"/>
              <w:bottom w:w="80" w:type="dxa"/>
              <w:end w:w="80" w:type="dxa"/>
            </w:tcMar>
          </w:tcPr>
          <w:p>
            <w:r>
              <w:t>Rule engine + intent service</w:t>
            </w:r>
          </w:p>
        </w:tc>
        <w:tc>
          <w:tcPr>
            <w:tcW w:type="dxa" w:w="3312"/>
            <w:tcMar>
              <w:top w:w="80" w:type="dxa"/>
              <w:start w:w="80" w:type="dxa"/>
              <w:bottom w:w="80" w:type="dxa"/>
              <w:end w:w="80" w:type="dxa"/>
            </w:tcMar>
          </w:tcPr>
          <w:p>
            <w:r>
              <w:t>TradeIntent / ExitIntent</w:t>
            </w:r>
          </w:p>
        </w:tc>
      </w:tr>
      <w:tr>
        <w:tc>
          <w:tcPr>
            <w:tcW w:type="dxa" w:w="3312"/>
            <w:tcMar>
              <w:top w:w="80" w:type="dxa"/>
              <w:start w:w="80" w:type="dxa"/>
              <w:bottom w:w="80" w:type="dxa"/>
              <w:end w:w="80" w:type="dxa"/>
            </w:tcMar>
          </w:tcPr>
          <w:p>
            <w:r>
              <w:t>Candidate construction</w:t>
            </w:r>
          </w:p>
        </w:tc>
        <w:tc>
          <w:tcPr>
            <w:tcW w:type="dxa" w:w="3312"/>
            <w:tcMar>
              <w:top w:w="80" w:type="dxa"/>
              <w:start w:w="80" w:type="dxa"/>
              <w:bottom w:w="80" w:type="dxa"/>
              <w:end w:w="80" w:type="dxa"/>
            </w:tcMar>
          </w:tcPr>
          <w:p>
            <w:r>
              <w:t>Candidate builder</w:t>
            </w:r>
          </w:p>
        </w:tc>
        <w:tc>
          <w:tcPr>
            <w:tcW w:type="dxa" w:w="3312"/>
            <w:tcMar>
              <w:top w:w="80" w:type="dxa"/>
              <w:start w:w="80" w:type="dxa"/>
              <w:bottom w:w="80" w:type="dxa"/>
              <w:end w:w="80" w:type="dxa"/>
            </w:tcMar>
          </w:tcPr>
          <w:p>
            <w:r>
              <w:t>Exact trade candidates</w:t>
            </w:r>
          </w:p>
        </w:tc>
      </w:tr>
      <w:tr>
        <w:tc>
          <w:tcPr>
            <w:tcW w:type="dxa" w:w="3312"/>
            <w:tcMar>
              <w:top w:w="80" w:type="dxa"/>
              <w:start w:w="80" w:type="dxa"/>
              <w:bottom w:w="80" w:type="dxa"/>
              <w:end w:w="80" w:type="dxa"/>
            </w:tcMar>
          </w:tcPr>
          <w:p>
            <w:r>
              <w:t>Approval</w:t>
            </w:r>
          </w:p>
        </w:tc>
        <w:tc>
          <w:tcPr>
            <w:tcW w:type="dxa" w:w="3312"/>
            <w:tcMar>
              <w:top w:w="80" w:type="dxa"/>
              <w:start w:w="80" w:type="dxa"/>
              <w:bottom w:w="80" w:type="dxa"/>
              <w:end w:w="80" w:type="dxa"/>
            </w:tcMar>
          </w:tcPr>
          <w:p>
            <w:r>
              <w:t>Risk + portfolio engines</w:t>
            </w:r>
          </w:p>
        </w:tc>
        <w:tc>
          <w:tcPr>
            <w:tcW w:type="dxa" w:w="3312"/>
            <w:tcMar>
              <w:top w:w="80" w:type="dxa"/>
              <w:start w:w="80" w:type="dxa"/>
              <w:bottom w:w="80" w:type="dxa"/>
              <w:end w:w="80" w:type="dxa"/>
            </w:tcMar>
          </w:tcPr>
          <w:p>
            <w:r>
              <w:t>Approved or rejected deterministic action</w:t>
            </w:r>
          </w:p>
        </w:tc>
      </w:tr>
      <w:tr>
        <w:tc>
          <w:tcPr>
            <w:tcW w:type="dxa" w:w="3312"/>
            <w:tcMar>
              <w:top w:w="80" w:type="dxa"/>
              <w:start w:w="80" w:type="dxa"/>
              <w:bottom w:w="80" w:type="dxa"/>
              <w:end w:w="80" w:type="dxa"/>
            </w:tcMar>
          </w:tcPr>
          <w:p>
            <w:r>
              <w:t>Execution</w:t>
            </w:r>
          </w:p>
        </w:tc>
        <w:tc>
          <w:tcPr>
            <w:tcW w:type="dxa" w:w="3312"/>
            <w:tcMar>
              <w:top w:w="80" w:type="dxa"/>
              <w:start w:w="80" w:type="dxa"/>
              <w:bottom w:w="80" w:type="dxa"/>
              <w:end w:w="80" w:type="dxa"/>
            </w:tcMar>
          </w:tcPr>
          <w:p>
            <w:r>
              <w:t>OMS + execution router</w:t>
            </w:r>
          </w:p>
        </w:tc>
        <w:tc>
          <w:tcPr>
            <w:tcW w:type="dxa" w:w="3312"/>
            <w:tcMar>
              <w:top w:w="80" w:type="dxa"/>
              <w:start w:w="80" w:type="dxa"/>
              <w:bottom w:w="80" w:type="dxa"/>
              <w:end w:w="80" w:type="dxa"/>
            </w:tcMar>
          </w:tcPr>
          <w:p>
            <w:r>
              <w:t>Order lifecycle events</w:t>
            </w:r>
          </w:p>
        </w:tc>
      </w:tr>
    </w:tbl>
    <w:p>
      <w:pPr>
        <w:pStyle w:val="Heading1"/>
      </w:pPr>
      <w:r>
        <w:t>11. Deployment blueprint</w:t>
      </w:r>
    </w:p>
    <w:p>
      <w:pPr>
        <w:spacing w:after="120"/>
      </w:pPr>
      <w:r>
        <w:t>The system is deployed in two primary perimeters plus a brokered integration zone. Zone A is the public ingress, Zone B is the OpenClaw orchestration plane, Zone C is the MCP broker zone, and Zone D is the trusted core trading plane.</w:t>
      </w:r>
    </w:p>
    <w:p>
      <w:pPr>
        <w:spacing w:after="120"/>
      </w:pPr>
      <w:r>
        <w:t>Only Zone D may publish deterministic action subjects, place orders, and mutate positions. OpenClaw and the MCP bridge are explicitly denied those privileges.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Mar>
              <w:top w:w="80" w:type="dxa"/>
              <w:start w:w="80" w:type="dxa"/>
              <w:bottom w:w="80" w:type="dxa"/>
              <w:end w:w="80" w:type="dxa"/>
            </w:tcMar>
          </w:tcPr>
          <w:p>
            <w:r>
              <w:t>Zone</w:t>
            </w:r>
          </w:p>
        </w:tc>
        <w:tc>
          <w:tcPr>
            <w:tcW w:type="dxa" w:w="2484"/>
            <w:shd w:fill="D9EAF7"/>
            <w:tcMar>
              <w:top w:w="80" w:type="dxa"/>
              <w:start w:w="80" w:type="dxa"/>
              <w:bottom w:w="80" w:type="dxa"/>
              <w:end w:w="80" w:type="dxa"/>
            </w:tcMar>
          </w:tcPr>
          <w:p>
            <w:r>
              <w:t>Primary services</w:t>
            </w:r>
          </w:p>
        </w:tc>
        <w:tc>
          <w:tcPr>
            <w:tcW w:type="dxa" w:w="2484"/>
            <w:shd w:fill="D9EAF7"/>
            <w:tcMar>
              <w:top w:w="80" w:type="dxa"/>
              <w:start w:w="80" w:type="dxa"/>
              <w:bottom w:w="80" w:type="dxa"/>
              <w:end w:w="80" w:type="dxa"/>
            </w:tcMar>
          </w:tcPr>
          <w:p>
            <w:r>
              <w:t>Allowed</w:t>
            </w:r>
          </w:p>
        </w:tc>
        <w:tc>
          <w:tcPr>
            <w:tcW w:type="dxa" w:w="2484"/>
            <w:shd w:fill="D9EAF7"/>
            <w:tcMar>
              <w:top w:w="80" w:type="dxa"/>
              <w:start w:w="80" w:type="dxa"/>
              <w:bottom w:w="80" w:type="dxa"/>
              <w:end w:w="80" w:type="dxa"/>
            </w:tcMar>
          </w:tcPr>
          <w:p>
            <w:r>
              <w:t>Denied</w:t>
            </w:r>
          </w:p>
        </w:tc>
      </w:tr>
      <w:tr>
        <w:tc>
          <w:tcPr>
            <w:tcW w:type="dxa" w:w="2484"/>
            <w:tcMar>
              <w:top w:w="80" w:type="dxa"/>
              <w:start w:w="80" w:type="dxa"/>
              <w:bottom w:w="80" w:type="dxa"/>
              <w:end w:w="80" w:type="dxa"/>
            </w:tcMar>
          </w:tcPr>
          <w:p>
            <w:r>
              <w:t>A: Public ingress</w:t>
            </w:r>
          </w:p>
        </w:tc>
        <w:tc>
          <w:tcPr>
            <w:tcW w:type="dxa" w:w="2484"/>
            <w:tcMar>
              <w:top w:w="80" w:type="dxa"/>
              <w:start w:w="80" w:type="dxa"/>
              <w:bottom w:w="80" w:type="dxa"/>
              <w:end w:w="80" w:type="dxa"/>
            </w:tcMar>
          </w:tcPr>
          <w:p>
            <w:r>
              <w:t>signal-webhook-gateway; edge-waf; ingress-auth</w:t>
            </w:r>
          </w:p>
        </w:tc>
        <w:tc>
          <w:tcPr>
            <w:tcW w:type="dxa" w:w="2484"/>
            <w:tcMar>
              <w:top w:w="80" w:type="dxa"/>
              <w:start w:w="80" w:type="dxa"/>
              <w:bottom w:w="80" w:type="dxa"/>
              <w:end w:w="80" w:type="dxa"/>
            </w:tcMar>
          </w:tcPr>
          <w:p>
            <w:r>
              <w:t>Receive and normalize signals</w:t>
            </w:r>
          </w:p>
        </w:tc>
        <w:tc>
          <w:tcPr>
            <w:tcW w:type="dxa" w:w="2484"/>
            <w:tcMar>
              <w:top w:w="80" w:type="dxa"/>
              <w:start w:w="80" w:type="dxa"/>
              <w:bottom w:w="80" w:type="dxa"/>
              <w:end w:w="80" w:type="dxa"/>
            </w:tcMar>
          </w:tcPr>
          <w:p>
            <w:r>
              <w:t>No NATS core access; no broker/exchange</w:t>
            </w:r>
          </w:p>
        </w:tc>
      </w:tr>
      <w:tr>
        <w:tc>
          <w:tcPr>
            <w:tcW w:type="dxa" w:w="2484"/>
            <w:tcMar>
              <w:top w:w="80" w:type="dxa"/>
              <w:start w:w="80" w:type="dxa"/>
              <w:bottom w:w="80" w:type="dxa"/>
              <w:end w:w="80" w:type="dxa"/>
            </w:tcMar>
          </w:tcPr>
          <w:p>
            <w:r>
              <w:t>B: Agent orchestration</w:t>
            </w:r>
          </w:p>
        </w:tc>
        <w:tc>
          <w:tcPr>
            <w:tcW w:type="dxa" w:w="2484"/>
            <w:tcMar>
              <w:top w:w="80" w:type="dxa"/>
              <w:start w:w="80" w:type="dxa"/>
              <w:bottom w:w="80" w:type="dxa"/>
              <w:end w:w="80" w:type="dxa"/>
            </w:tcMar>
          </w:tcPr>
          <w:p>
            <w:r>
              <w:t>openclaw-orchestrator; workflow-router</w:t>
            </w:r>
          </w:p>
        </w:tc>
        <w:tc>
          <w:tcPr>
            <w:tcW w:type="dxa" w:w="2484"/>
            <w:tcMar>
              <w:top w:w="80" w:type="dxa"/>
              <w:start w:w="80" w:type="dxa"/>
              <w:bottom w:w="80" w:type="dxa"/>
              <w:end w:w="80" w:type="dxa"/>
            </w:tcMar>
          </w:tcPr>
          <w:p>
            <w:r>
              <w:t>Run workflows; call MCP</w:t>
            </w:r>
          </w:p>
        </w:tc>
        <w:tc>
          <w:tcPr>
            <w:tcW w:type="dxa" w:w="2484"/>
            <w:tcMar>
              <w:top w:w="80" w:type="dxa"/>
              <w:start w:w="80" w:type="dxa"/>
              <w:bottom w:w="80" w:type="dxa"/>
              <w:end w:w="80" w:type="dxa"/>
            </w:tcMar>
          </w:tcPr>
          <w:p>
            <w:r>
              <w:t>No OMS, broker, or trading DB access</w:t>
            </w:r>
          </w:p>
        </w:tc>
      </w:tr>
      <w:tr>
        <w:tc>
          <w:tcPr>
            <w:tcW w:type="dxa" w:w="2484"/>
            <w:tcMar>
              <w:top w:w="80" w:type="dxa"/>
              <w:start w:w="80" w:type="dxa"/>
              <w:bottom w:w="80" w:type="dxa"/>
              <w:end w:w="80" w:type="dxa"/>
            </w:tcMar>
          </w:tcPr>
          <w:p>
            <w:r>
              <w:t>C: MCP broker</w:t>
            </w:r>
          </w:p>
        </w:tc>
        <w:tc>
          <w:tcPr>
            <w:tcW w:type="dxa" w:w="2484"/>
            <w:tcMar>
              <w:top w:w="80" w:type="dxa"/>
              <w:start w:w="80" w:type="dxa"/>
              <w:bottom w:w="80" w:type="dxa"/>
              <w:end w:w="80" w:type="dxa"/>
            </w:tcMar>
          </w:tcPr>
          <w:p>
            <w:r>
              <w:t>mcp-trading-bridge; policy-gateway</w:t>
            </w:r>
          </w:p>
        </w:tc>
        <w:tc>
          <w:tcPr>
            <w:tcW w:type="dxa" w:w="2484"/>
            <w:tcMar>
              <w:top w:w="80" w:type="dxa"/>
              <w:start w:w="80" w:type="dxa"/>
              <w:bottom w:w="80" w:type="dxa"/>
              <w:end w:w="80" w:type="dxa"/>
            </w:tcMar>
          </w:tcPr>
          <w:p>
            <w:r>
              <w:t>Read data, publish recommendations</w:t>
            </w:r>
          </w:p>
        </w:tc>
        <w:tc>
          <w:tcPr>
            <w:tcW w:type="dxa" w:w="2484"/>
            <w:tcMar>
              <w:top w:w="80" w:type="dxa"/>
              <w:start w:w="80" w:type="dxa"/>
              <w:bottom w:w="80" w:type="dxa"/>
              <w:end w:w="80" w:type="dxa"/>
            </w:tcMar>
          </w:tcPr>
          <w:p>
            <w:r>
              <w:t>No execution or portfolio mutation</w:t>
            </w:r>
          </w:p>
        </w:tc>
      </w:tr>
      <w:tr>
        <w:tc>
          <w:tcPr>
            <w:tcW w:type="dxa" w:w="2484"/>
            <w:tcMar>
              <w:top w:w="80" w:type="dxa"/>
              <w:start w:w="80" w:type="dxa"/>
              <w:bottom w:w="80" w:type="dxa"/>
              <w:end w:w="80" w:type="dxa"/>
            </w:tcMar>
          </w:tcPr>
          <w:p>
            <w:r>
              <w:t>D: Trusted core</w:t>
            </w:r>
          </w:p>
        </w:tc>
        <w:tc>
          <w:tcPr>
            <w:tcW w:type="dxa" w:w="2484"/>
            <w:tcMar>
              <w:top w:w="80" w:type="dxa"/>
              <w:start w:w="80" w:type="dxa"/>
              <w:bottom w:w="80" w:type="dxa"/>
              <w:end w:w="80" w:type="dxa"/>
            </w:tcMar>
          </w:tcPr>
          <w:p>
            <w:r>
              <w:t>rule-engine; deterministic-intent-service; risk-engine; OMS</w:t>
            </w:r>
          </w:p>
        </w:tc>
        <w:tc>
          <w:tcPr>
            <w:tcW w:type="dxa" w:w="2484"/>
            <w:tcMar>
              <w:top w:w="80" w:type="dxa"/>
              <w:start w:w="80" w:type="dxa"/>
              <w:bottom w:w="80" w:type="dxa"/>
              <w:end w:w="80" w:type="dxa"/>
            </w:tcMar>
          </w:tcPr>
          <w:p>
            <w:r>
              <w:t>All deterministic actions and execution</w:t>
            </w:r>
          </w:p>
        </w:tc>
        <w:tc>
          <w:tcPr>
            <w:tcW w:type="dxa" w:w="2484"/>
            <w:tcMar>
              <w:top w:w="80" w:type="dxa"/>
              <w:start w:w="80" w:type="dxa"/>
              <w:bottom w:w="80" w:type="dxa"/>
              <w:end w:w="80" w:type="dxa"/>
            </w:tcMar>
          </w:tcPr>
          <w:p>
            <w:r>
              <w:t>N/A</w:t>
            </w:r>
          </w:p>
        </w:tc>
      </w:tr>
    </w:tbl>
    <w:p>
      <w:pPr>
        <w:pStyle w:val="Heading1"/>
      </w:pPr>
      <w:r>
        <w:t>12. Service inventory</w:t>
      </w:r>
    </w:p>
    <w:p>
      <w:pPr>
        <w:pStyle w:val="ListBullet"/>
        <w:spacing w:after="40"/>
      </w:pPr>
      <w:r>
        <w:t>signal-webhook-gateway</w:t>
      </w:r>
    </w:p>
    <w:p>
      <w:pPr>
        <w:pStyle w:val="ListBullet"/>
        <w:spacing w:after="40"/>
      </w:pPr>
      <w:r>
        <w:t>openclaw-orchestrator</w:t>
      </w:r>
    </w:p>
    <w:p>
      <w:pPr>
        <w:pStyle w:val="ListBullet"/>
        <w:spacing w:after="40"/>
      </w:pPr>
      <w:r>
        <w:t>openclaw-workflow-router</w:t>
      </w:r>
    </w:p>
    <w:p>
      <w:pPr>
        <w:pStyle w:val="ListBullet"/>
        <w:spacing w:after="40"/>
      </w:pPr>
      <w:r>
        <w:t>mcp-trading-bridge</w:t>
      </w:r>
    </w:p>
    <w:p>
      <w:pPr>
        <w:pStyle w:val="ListBullet"/>
        <w:spacing w:after="40"/>
      </w:pPr>
      <w:r>
        <w:t>core-query-api</w:t>
      </w:r>
    </w:p>
    <w:p>
      <w:pPr>
        <w:pStyle w:val="ListBullet"/>
        <w:spacing w:after="40"/>
      </w:pPr>
      <w:r>
        <w:t>core-recommendation-intake</w:t>
      </w:r>
    </w:p>
    <w:p>
      <w:pPr>
        <w:pStyle w:val="ListBullet"/>
        <w:spacing w:after="40"/>
      </w:pPr>
      <w:r>
        <w:t>recommendation-policy-firewall</w:t>
      </w:r>
    </w:p>
    <w:p>
      <w:pPr>
        <w:pStyle w:val="ListBullet"/>
        <w:spacing w:after="40"/>
      </w:pPr>
      <w:r>
        <w:t>rule-engine</w:t>
      </w:r>
    </w:p>
    <w:p>
      <w:pPr>
        <w:pStyle w:val="ListBullet"/>
        <w:spacing w:after="40"/>
      </w:pPr>
      <w:r>
        <w:t>deterministic-intent-service</w:t>
      </w:r>
    </w:p>
    <w:p>
      <w:pPr>
        <w:pStyle w:val="ListBullet"/>
        <w:spacing w:after="40"/>
      </w:pPr>
      <w:r>
        <w:t>candidate-builder</w:t>
      </w:r>
    </w:p>
    <w:p>
      <w:pPr>
        <w:pStyle w:val="ListBullet"/>
        <w:spacing w:after="40"/>
      </w:pPr>
      <w:r>
        <w:t>risk-engine</w:t>
      </w:r>
    </w:p>
    <w:p>
      <w:pPr>
        <w:pStyle w:val="ListBullet"/>
        <w:spacing w:after="40"/>
      </w:pPr>
      <w:r>
        <w:t>portfolio-engine</w:t>
      </w:r>
    </w:p>
    <w:p>
      <w:pPr>
        <w:pStyle w:val="ListBullet"/>
        <w:spacing w:after="40"/>
      </w:pPr>
      <w:r>
        <w:t>gpu-pricer-service</w:t>
      </w:r>
    </w:p>
    <w:p>
      <w:pPr>
        <w:pStyle w:val="ListBullet"/>
        <w:spacing w:after="40"/>
      </w:pPr>
      <w:r>
        <w:t>market-state-service</w:t>
      </w:r>
    </w:p>
    <w:p>
      <w:pPr>
        <w:pStyle w:val="ListBullet"/>
        <w:spacing w:after="40"/>
      </w:pPr>
      <w:r>
        <w:t>position-monitor</w:t>
      </w:r>
    </w:p>
    <w:p>
      <w:pPr>
        <w:pStyle w:val="ListBullet"/>
        <w:spacing w:after="40"/>
      </w:pPr>
      <w:r>
        <w:t>oms</w:t>
      </w:r>
    </w:p>
    <w:p>
      <w:pPr>
        <w:pStyle w:val="ListBullet"/>
        <w:spacing w:after="40"/>
      </w:pPr>
      <w:r>
        <w:t>execution-router</w:t>
      </w:r>
    </w:p>
    <w:p>
      <w:pPr>
        <w:pStyle w:val="ListBullet"/>
        <w:spacing w:after="40"/>
      </w:pPr>
      <w:r>
        <w:t>fill-reconciler</w:t>
      </w:r>
    </w:p>
    <w:p>
      <w:pPr>
        <w:pStyle w:val="ListBullet"/>
        <w:spacing w:after="40"/>
      </w:pPr>
      <w:r>
        <w:t>replay-service</w:t>
      </w:r>
    </w:p>
    <w:p>
      <w:pPr>
        <w:pStyle w:val="ListBullet"/>
        <w:spacing w:after="40"/>
      </w:pPr>
      <w:r>
        <w:t>audit-ledger</w:t>
      </w:r>
    </w:p>
    <w:p>
      <w:pPr>
        <w:pStyle w:val="ListBullet"/>
        <w:spacing w:after="40"/>
      </w:pPr>
      <w:r>
        <w:t>nats-cluster / JetStream storage</w:t>
      </w:r>
    </w:p>
    <w:p>
      <w:pPr>
        <w:pStyle w:val="Heading1"/>
      </w:pPr>
      <w:r>
        <w:t>13. NATS and JetStream blueprint</w:t>
      </w:r>
    </w:p>
    <w:p>
      <w:pPr>
        <w:spacing w:after="120"/>
      </w:pPr>
      <w:r>
        <w:t>NATS subjects are organized by business intent. The core system owns action and order subjects, while agent-side systems may only publish recommendation-facing subjects through controlled gateways.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80" w:type="dxa"/>
              <w:bottom w:w="80" w:type="dxa"/>
              <w:end w:w="80" w:type="dxa"/>
            </w:tcMar>
          </w:tcPr>
          <w:p>
            <w:r>
              <w:t>Subject namespace</w:t>
            </w:r>
          </w:p>
        </w:tc>
        <w:tc>
          <w:tcPr>
            <w:tcW w:type="dxa" w:w="3312"/>
            <w:shd w:fill="D9EAF7"/>
            <w:tcMar>
              <w:top w:w="80" w:type="dxa"/>
              <w:start w:w="80" w:type="dxa"/>
              <w:bottom w:w="80" w:type="dxa"/>
              <w:end w:w="80" w:type="dxa"/>
            </w:tcMar>
          </w:tcPr>
          <w:p>
            <w:r>
              <w:t>Purpose</w:t>
            </w:r>
          </w:p>
        </w:tc>
        <w:tc>
          <w:tcPr>
            <w:tcW w:type="dxa" w:w="3312"/>
            <w:shd w:fill="D9EAF7"/>
            <w:tcMar>
              <w:top w:w="80" w:type="dxa"/>
              <w:start w:w="80" w:type="dxa"/>
              <w:bottom w:w="80" w:type="dxa"/>
              <w:end w:w="80" w:type="dxa"/>
            </w:tcMar>
          </w:tcPr>
          <w:p>
            <w:r>
              <w:t>Publishing authority</w:t>
            </w:r>
          </w:p>
        </w:tc>
      </w:tr>
      <w:tr>
        <w:tc>
          <w:tcPr>
            <w:tcW w:type="dxa" w:w="3312"/>
            <w:tcMar>
              <w:top w:w="80" w:type="dxa"/>
              <w:start w:w="80" w:type="dxa"/>
              <w:bottom w:w="80" w:type="dxa"/>
              <w:end w:w="80" w:type="dxa"/>
            </w:tcMar>
          </w:tcPr>
          <w:p>
            <w:r>
              <w:t>trade.signal.*</w:t>
            </w:r>
          </w:p>
        </w:tc>
        <w:tc>
          <w:tcPr>
            <w:tcW w:type="dxa" w:w="3312"/>
            <w:tcMar>
              <w:top w:w="80" w:type="dxa"/>
              <w:start w:w="80" w:type="dxa"/>
              <w:bottom w:w="80" w:type="dxa"/>
              <w:end w:w="80" w:type="dxa"/>
            </w:tcMar>
          </w:tcPr>
          <w:p>
            <w:r>
              <w:t>Intrinsic-time and exit-review signals</w:t>
            </w:r>
          </w:p>
        </w:tc>
        <w:tc>
          <w:tcPr>
            <w:tcW w:type="dxa" w:w="3312"/>
            <w:tcMar>
              <w:top w:w="80" w:type="dxa"/>
              <w:start w:w="80" w:type="dxa"/>
              <w:bottom w:w="80" w:type="dxa"/>
              <w:end w:w="80" w:type="dxa"/>
            </w:tcMar>
          </w:tcPr>
          <w:p>
            <w:r>
              <w:t>Signal engine / core</w:t>
            </w:r>
          </w:p>
        </w:tc>
      </w:tr>
      <w:tr>
        <w:tc>
          <w:tcPr>
            <w:tcW w:type="dxa" w:w="3312"/>
            <w:tcMar>
              <w:top w:w="80" w:type="dxa"/>
              <w:start w:w="80" w:type="dxa"/>
              <w:bottom w:w="80" w:type="dxa"/>
              <w:end w:w="80" w:type="dxa"/>
            </w:tcMar>
          </w:tcPr>
          <w:p>
            <w:r>
              <w:t>trade.agent.*</w:t>
            </w:r>
          </w:p>
        </w:tc>
        <w:tc>
          <w:tcPr>
            <w:tcW w:type="dxa" w:w="3312"/>
            <w:tcMar>
              <w:top w:w="80" w:type="dxa"/>
              <w:start w:w="80" w:type="dxa"/>
              <w:bottom w:w="80" w:type="dxa"/>
              <w:end w:w="80" w:type="dxa"/>
            </w:tcMar>
          </w:tcPr>
          <w:p>
            <w:r>
              <w:t>Workflow and agent outputs</w:t>
            </w:r>
          </w:p>
        </w:tc>
        <w:tc>
          <w:tcPr>
            <w:tcW w:type="dxa" w:w="3312"/>
            <w:tcMar>
              <w:top w:w="80" w:type="dxa"/>
              <w:start w:w="80" w:type="dxa"/>
              <w:bottom w:w="80" w:type="dxa"/>
              <w:end w:w="80" w:type="dxa"/>
            </w:tcMar>
          </w:tcPr>
          <w:p>
            <w:r>
              <w:t>OpenClaw via MCP bridge</w:t>
            </w:r>
          </w:p>
        </w:tc>
      </w:tr>
      <w:tr>
        <w:tc>
          <w:tcPr>
            <w:tcW w:type="dxa" w:w="3312"/>
            <w:tcMar>
              <w:top w:w="80" w:type="dxa"/>
              <w:start w:w="80" w:type="dxa"/>
              <w:bottom w:w="80" w:type="dxa"/>
              <w:end w:w="80" w:type="dxa"/>
            </w:tcMar>
          </w:tcPr>
          <w:p>
            <w:r>
              <w:t>trade.recommendation.*</w:t>
            </w:r>
          </w:p>
        </w:tc>
        <w:tc>
          <w:tcPr>
            <w:tcW w:type="dxa" w:w="3312"/>
            <w:tcMar>
              <w:top w:w="80" w:type="dxa"/>
              <w:start w:w="80" w:type="dxa"/>
              <w:bottom w:w="80" w:type="dxa"/>
              <w:end w:w="80" w:type="dxa"/>
            </w:tcMar>
          </w:tcPr>
          <w:p>
            <w:r>
              <w:t>Validated recommendation lifecycle</w:t>
            </w:r>
          </w:p>
        </w:tc>
        <w:tc>
          <w:tcPr>
            <w:tcW w:type="dxa" w:w="3312"/>
            <w:tcMar>
              <w:top w:w="80" w:type="dxa"/>
              <w:start w:w="80" w:type="dxa"/>
              <w:bottom w:w="80" w:type="dxa"/>
              <w:end w:w="80" w:type="dxa"/>
            </w:tcMar>
          </w:tcPr>
          <w:p>
            <w:r>
              <w:t>Core intake and firewall</w:t>
            </w:r>
          </w:p>
        </w:tc>
      </w:tr>
      <w:tr>
        <w:tc>
          <w:tcPr>
            <w:tcW w:type="dxa" w:w="3312"/>
            <w:tcMar>
              <w:top w:w="80" w:type="dxa"/>
              <w:start w:w="80" w:type="dxa"/>
              <w:bottom w:w="80" w:type="dxa"/>
              <w:end w:w="80" w:type="dxa"/>
            </w:tcMar>
          </w:tcPr>
          <w:p>
            <w:r>
              <w:t>trade.intent.*</w:t>
            </w:r>
          </w:p>
        </w:tc>
        <w:tc>
          <w:tcPr>
            <w:tcW w:type="dxa" w:w="3312"/>
            <w:tcMar>
              <w:top w:w="80" w:type="dxa"/>
              <w:start w:w="80" w:type="dxa"/>
              <w:bottom w:w="80" w:type="dxa"/>
              <w:end w:w="80" w:type="dxa"/>
            </w:tcMar>
          </w:tcPr>
          <w:p>
            <w:r>
              <w:t>Deterministic intents</w:t>
            </w:r>
          </w:p>
        </w:tc>
        <w:tc>
          <w:tcPr>
            <w:tcW w:type="dxa" w:w="3312"/>
            <w:tcMar>
              <w:top w:w="80" w:type="dxa"/>
              <w:start w:w="80" w:type="dxa"/>
              <w:bottom w:w="80" w:type="dxa"/>
              <w:end w:w="80" w:type="dxa"/>
            </w:tcMar>
          </w:tcPr>
          <w:p>
            <w:r>
              <w:t>Core only</w:t>
            </w:r>
          </w:p>
        </w:tc>
      </w:tr>
      <w:tr>
        <w:tc>
          <w:tcPr>
            <w:tcW w:type="dxa" w:w="3312"/>
            <w:tcMar>
              <w:top w:w="80" w:type="dxa"/>
              <w:start w:w="80" w:type="dxa"/>
              <w:bottom w:w="80" w:type="dxa"/>
              <w:end w:w="80" w:type="dxa"/>
            </w:tcMar>
          </w:tcPr>
          <w:p>
            <w:r>
              <w:t>trade.action.*</w:t>
            </w:r>
          </w:p>
        </w:tc>
        <w:tc>
          <w:tcPr>
            <w:tcW w:type="dxa" w:w="3312"/>
            <w:tcMar>
              <w:top w:w="80" w:type="dxa"/>
              <w:start w:w="80" w:type="dxa"/>
              <w:bottom w:w="80" w:type="dxa"/>
              <w:end w:w="80" w:type="dxa"/>
            </w:tcMar>
          </w:tcPr>
          <w:p>
            <w:r>
              <w:t>Deterministic action requests</w:t>
            </w:r>
          </w:p>
        </w:tc>
        <w:tc>
          <w:tcPr>
            <w:tcW w:type="dxa" w:w="3312"/>
            <w:tcMar>
              <w:top w:w="80" w:type="dxa"/>
              <w:start w:w="80" w:type="dxa"/>
              <w:bottom w:w="80" w:type="dxa"/>
              <w:end w:w="80" w:type="dxa"/>
            </w:tcMar>
          </w:tcPr>
          <w:p>
            <w:r>
              <w:t>Core only</w:t>
            </w:r>
          </w:p>
        </w:tc>
      </w:tr>
      <w:tr>
        <w:tc>
          <w:tcPr>
            <w:tcW w:type="dxa" w:w="3312"/>
            <w:tcMar>
              <w:top w:w="80" w:type="dxa"/>
              <w:start w:w="80" w:type="dxa"/>
              <w:bottom w:w="80" w:type="dxa"/>
              <w:end w:w="80" w:type="dxa"/>
            </w:tcMar>
          </w:tcPr>
          <w:p>
            <w:r>
              <w:t>trade.order.* / trade.position.*</w:t>
            </w:r>
          </w:p>
        </w:tc>
        <w:tc>
          <w:tcPr>
            <w:tcW w:type="dxa" w:w="3312"/>
            <w:tcMar>
              <w:top w:w="80" w:type="dxa"/>
              <w:start w:w="80" w:type="dxa"/>
              <w:bottom w:w="80" w:type="dxa"/>
              <w:end w:w="80" w:type="dxa"/>
            </w:tcMar>
          </w:tcPr>
          <w:p>
            <w:r>
              <w:t>OMS, fills, positions</w:t>
            </w:r>
          </w:p>
        </w:tc>
        <w:tc>
          <w:tcPr>
            <w:tcW w:type="dxa" w:w="3312"/>
            <w:tcMar>
              <w:top w:w="80" w:type="dxa"/>
              <w:start w:w="80" w:type="dxa"/>
              <w:bottom w:w="80" w:type="dxa"/>
              <w:end w:w="80" w:type="dxa"/>
            </w:tcMar>
          </w:tcPr>
          <w:p>
            <w:r>
              <w:t>Core only</w:t>
            </w:r>
          </w:p>
        </w:tc>
      </w:tr>
      <w:tr>
        <w:tc>
          <w:tcPr>
            <w:tcW w:type="dxa" w:w="3312"/>
            <w:tcMar>
              <w:top w:w="80" w:type="dxa"/>
              <w:start w:w="80" w:type="dxa"/>
              <w:bottom w:w="80" w:type="dxa"/>
              <w:end w:w="80" w:type="dxa"/>
            </w:tcMar>
          </w:tcPr>
          <w:p>
            <w:r>
              <w:t>trade.audit.*</w:t>
            </w:r>
          </w:p>
        </w:tc>
        <w:tc>
          <w:tcPr>
            <w:tcW w:type="dxa" w:w="3312"/>
            <w:tcMar>
              <w:top w:w="80" w:type="dxa"/>
              <w:start w:w="80" w:type="dxa"/>
              <w:bottom w:w="80" w:type="dxa"/>
              <w:end w:w="80" w:type="dxa"/>
            </w:tcMar>
          </w:tcPr>
          <w:p>
            <w:r>
              <w:t>Audit and forensics</w:t>
            </w:r>
          </w:p>
        </w:tc>
        <w:tc>
          <w:tcPr>
            <w:tcW w:type="dxa" w:w="3312"/>
            <w:tcMar>
              <w:top w:w="80" w:type="dxa"/>
              <w:start w:w="80" w:type="dxa"/>
              <w:bottom w:w="80" w:type="dxa"/>
              <w:end w:w="80" w:type="dxa"/>
            </w:tcMar>
          </w:tcPr>
          <w:p>
            <w:r>
              <w:t>Core and MCP audit</w:t>
            </w:r>
          </w:p>
        </w:tc>
      </w:tr>
    </w:tbl>
    <w:p>
      <w:pPr>
        <w:pStyle w:val="Heading1"/>
      </w:pPr>
      <w:r>
        <w:t>14. MCP server definition</w:t>
      </w:r>
    </w:p>
    <w:p>
      <w:pPr>
        <w:spacing w:after="120"/>
      </w:pPr>
      <w:r>
        <w:t>The MCP server is not a generic proxy. It is a brokered integration layer with per-tool authorization, response shaping, auditing, and recommendation signing.</w:t>
      </w:r>
    </w:p>
    <w:p>
      <w:pPr>
        <w:pStyle w:val="Heading2"/>
      </w:pPr>
      <w:r>
        <w:t>14.1 Read tools</w:t>
      </w:r>
    </w:p>
    <w:p>
      <w:pPr>
        <w:pStyle w:val="ListBullet"/>
        <w:spacing w:after="40"/>
      </w:pPr>
      <w:r>
        <w:t>GetIntrinsicSignalContext</w:t>
      </w:r>
    </w:p>
    <w:p>
      <w:pPr>
        <w:pStyle w:val="ListBullet"/>
        <w:spacing w:after="40"/>
      </w:pPr>
      <w:r>
        <w:t>GetMarketState</w:t>
      </w:r>
    </w:p>
    <w:p>
      <w:pPr>
        <w:pStyle w:val="ListBullet"/>
        <w:spacing w:after="40"/>
      </w:pPr>
      <w:r>
        <w:t>GetAdxStack</w:t>
      </w:r>
    </w:p>
    <w:p>
      <w:pPr>
        <w:pStyle w:val="ListBullet"/>
        <w:spacing w:after="40"/>
      </w:pPr>
      <w:r>
        <w:t>GetVixTermStructure</w:t>
      </w:r>
    </w:p>
    <w:p>
      <w:pPr>
        <w:pStyle w:val="ListBullet"/>
        <w:spacing w:after="40"/>
      </w:pPr>
      <w:r>
        <w:t>GetPortfolioSnapshot</w:t>
      </w:r>
    </w:p>
    <w:p>
      <w:pPr>
        <w:pStyle w:val="ListBullet"/>
        <w:spacing w:after="40"/>
      </w:pPr>
      <w:r>
        <w:t>GetOpenPositions</w:t>
      </w:r>
    </w:p>
    <w:p>
      <w:pPr>
        <w:pStyle w:val="ListBullet"/>
        <w:spacing w:after="40"/>
      </w:pPr>
      <w:r>
        <w:t>GetCandidateUniverseSummary</w:t>
      </w:r>
    </w:p>
    <w:p>
      <w:pPr>
        <w:pStyle w:val="ListBullet"/>
        <w:spacing w:after="40"/>
      </w:pPr>
      <w:r>
        <w:t>GetForwardLossProfileSummary</w:t>
      </w:r>
    </w:p>
    <w:p>
      <w:pPr>
        <w:pStyle w:val="Heading2"/>
      </w:pPr>
      <w:r>
        <w:t>14.2 Write tools</w:t>
      </w:r>
    </w:p>
    <w:p>
      <w:pPr>
        <w:pStyle w:val="ListBullet"/>
        <w:spacing w:after="40"/>
      </w:pPr>
      <w:r>
        <w:t>PublishTradeRecommendation</w:t>
      </w:r>
    </w:p>
    <w:p>
      <w:pPr>
        <w:pStyle w:val="ListBullet"/>
        <w:spacing w:after="40"/>
      </w:pPr>
      <w:r>
        <w:t>PublishExitRecommendation</w:t>
      </w:r>
    </w:p>
    <w:p>
      <w:pPr>
        <w:pStyle w:val="ListBullet"/>
        <w:spacing w:after="40"/>
      </w:pPr>
      <w:r>
        <w:t>PublishNoTradeRecommendation</w:t>
      </w:r>
    </w:p>
    <w:p>
      <w:pPr>
        <w:pStyle w:val="ListBullet"/>
        <w:spacing w:after="40"/>
      </w:pPr>
      <w:r>
        <w:t>PublishEscalationRecommendation</w:t>
      </w:r>
    </w:p>
    <w:p>
      <w:pPr>
        <w:pStyle w:val="Heading2"/>
      </w:pPr>
      <w:r>
        <w:t>14.3 Forbidden tools</w:t>
      </w:r>
    </w:p>
    <w:p>
      <w:pPr>
        <w:pStyle w:val="ListBullet"/>
        <w:spacing w:after="40"/>
      </w:pPr>
      <w:r>
        <w:t>SubmitOrder</w:t>
      </w:r>
    </w:p>
    <w:p>
      <w:pPr>
        <w:pStyle w:val="ListBullet"/>
        <w:spacing w:after="40"/>
      </w:pPr>
      <w:r>
        <w:t>CancelOrder</w:t>
      </w:r>
    </w:p>
    <w:p>
      <w:pPr>
        <w:pStyle w:val="ListBullet"/>
        <w:spacing w:after="40"/>
      </w:pPr>
      <w:r>
        <w:t>ReplaceOrder</w:t>
      </w:r>
    </w:p>
    <w:p>
      <w:pPr>
        <w:pStyle w:val="ListBullet"/>
        <w:spacing w:after="40"/>
      </w:pPr>
      <w:r>
        <w:t>ClosePosition</w:t>
      </w:r>
    </w:p>
    <w:p>
      <w:pPr>
        <w:pStyle w:val="ListBullet"/>
        <w:spacing w:after="40"/>
      </w:pPr>
      <w:r>
        <w:t>MutatePortfolio</w:t>
      </w:r>
    </w:p>
    <w:p>
      <w:pPr>
        <w:pStyle w:val="ListBullet"/>
        <w:spacing w:after="40"/>
      </w:pPr>
      <w:r>
        <w:t>OverrideRisk</w:t>
      </w:r>
    </w:p>
    <w:p>
      <w:pPr>
        <w:pStyle w:val="ListBullet"/>
        <w:spacing w:after="40"/>
      </w:pPr>
      <w:r>
        <w:t>UpdatePolicy</w:t>
      </w:r>
    </w:p>
    <w:p>
      <w:pPr>
        <w:pStyle w:val="Heading1"/>
      </w:pPr>
      <w:r>
        <w:t>15. Message schema overview</w:t>
      </w:r>
    </w:p>
    <w:p>
      <w:pPr>
        <w:spacing w:after="120"/>
      </w:pPr>
      <w:r>
        <w:t>The package includes JSON schemas and matching C# DTOs for the primary contracts. All message envelopes carry message id, correlation id, event time, and version fields. Recommendation messages are signed and expire rapidly.</w:t>
      </w:r>
    </w:p>
    <w:p>
      <w:pPr>
        <w:spacing w:after="120"/>
      </w:pPr>
      <w:r>
        <w:t>Primary schema set: IntrinsicTimeTradeSignalRaised, TradeRecommendationProduced, ExitRecommendationProduced, NoTradeRecommendationProduced, TradeIntentCreated, DeterministicTradeActionIssued, RecommendationRejectedByRuleEngine.</w:t>
      </w:r>
    </w:p>
    <w:p>
      <w:pPr>
        <w:spacing w:after="120"/>
      </w:pPr>
      <w:r>
        <w:t>Recommendation payloads are advisory and must never be treated as executable instructions.</w:t>
      </w:r>
    </w:p>
    <w:p>
      <w:pPr>
        <w:pStyle w:val="Heading1"/>
      </w:pPr>
      <w:r>
        <w:t>16. Security model by zone</w:t>
      </w:r>
    </w:p>
    <w:p>
      <w:pPr>
        <w:spacing w:after="120"/>
      </w:pPr>
      <w:r>
        <w:t>Zone A terminates public traffic and performs WAF filtering, identity checks, and payload normalization. It cannot publish to trusted NATS subjects.</w:t>
      </w:r>
    </w:p>
    <w:p>
      <w:pPr>
        <w:spacing w:after="120"/>
      </w:pPr>
      <w:r>
        <w:t>Zone B contains OpenClaw. It is treated as untrusted compute from the perspective of execution safety. Egress is restricted to the MCP server, model provider, and observability endpoints.</w:t>
      </w:r>
    </w:p>
    <w:p>
      <w:pPr>
        <w:spacing w:after="120"/>
      </w:pPr>
      <w:r>
        <w:t>Zone C contains the MCP bridge. It authenticates OpenClaw, authorizes tools by agent identity, records tool calls, redacts sensitive data where necessary, and signs recommendation messages sent inward.</w:t>
      </w:r>
    </w:p>
    <w:p>
      <w:pPr>
        <w:spacing w:after="120"/>
      </w:pPr>
      <w:r>
        <w:t>Zone D contains the core trading system. It is the only zone with execution privileges, order-routing credentials, and authoritative position state.</w:t>
      </w:r>
    </w:p>
    <w:p>
      <w:pPr>
        <w:pStyle w:val="Heading1"/>
      </w:pPr>
      <w:r>
        <w:t>17. Failure modes and degraded operation</w:t>
      </w:r>
    </w:p>
    <w:p>
      <w:pPr>
        <w:pStyle w:val="ListBullet"/>
        <w:spacing w:after="40"/>
      </w:pPr>
      <w:r>
        <w:t>If OpenClaw is unavailable, deterministic exits remain enabled. New entries are either disabled or allowed only in explicitly approved deterministic-only mode.</w:t>
      </w:r>
    </w:p>
    <w:p>
      <w:pPr>
        <w:pStyle w:val="ListBullet"/>
        <w:spacing w:after="40"/>
      </w:pPr>
      <w:r>
        <w:t>If MCP is unavailable, recommendation intake is blocked, but the core system continues risk monitoring and deterministic exits.</w:t>
      </w:r>
    </w:p>
    <w:p>
      <w:pPr>
        <w:pStyle w:val="ListBullet"/>
        <w:spacing w:after="40"/>
      </w:pPr>
      <w:r>
        <w:t>Expired or replayed recommendations are rejected by policy firewall before any deterministic conversion.</w:t>
      </w:r>
    </w:p>
    <w:p>
      <w:pPr>
        <w:pStyle w:val="ListBullet"/>
        <w:spacing w:after="40"/>
      </w:pPr>
      <w:r>
        <w:t>If the risk engine or portfolio engine is degraded, the system fails closed for new entries and may force protective exits depending on policy.</w:t>
      </w:r>
    </w:p>
    <w:p>
      <w:pPr>
        <w:pStyle w:val="Heading1"/>
      </w:pPr>
      <w:r>
        <w:t>18. Replay, audit, and model governance</w:t>
      </w:r>
    </w:p>
    <w:p>
      <w:pPr>
        <w:spacing w:after="120"/>
      </w:pPr>
      <w:r>
        <w:t>Replay must capture the original signal, the MCP responses provided to the Agent, the exact recommendation payload, the policy-firewall disposition, the deterministic intent, the approved action, and the resulting order/fill outcome.</w:t>
      </w:r>
    </w:p>
    <w:p>
      <w:pPr>
        <w:spacing w:after="120"/>
      </w:pPr>
      <w:r>
        <w:t>Each recommendation should be attributable to a workflow version, model id, and agent identity. Rejections, substitutions, expiries, and stale-state drops should be first-class audit events.</w:t>
      </w:r>
    </w:p>
    <w:p>
      <w:pPr>
        <w:spacing w:after="120"/>
      </w:pPr>
      <w:r>
        <w:t>Usefulness should be evaluated after deterministic filtering. The key question is whether the Agent improves decisions once the core system applies hard constraints.</w:t>
      </w:r>
    </w:p>
    <w:p>
      <w:pPr>
        <w:pStyle w:val="Heading1"/>
      </w:pPr>
      <w:r>
        <w:t>19. Implementation plan</w:t>
      </w:r>
    </w:p>
    <w:p>
      <w:pPr>
        <w:pStyle w:val="ListBullet"/>
        <w:spacing w:after="40"/>
      </w:pPr>
      <w:r>
        <w:t>Phase 1: OpenClaw can publish no-trade, exit, and strategy-family recommendations. Core remains primary for entries.</w:t>
      </w:r>
    </w:p>
    <w:p>
      <w:pPr>
        <w:pStyle w:val="ListBullet"/>
        <w:spacing w:after="40"/>
      </w:pPr>
      <w:r>
        <w:t>Phase 2: OpenClaw can recommend entry families; core still generates exact legs and size.</w:t>
      </w:r>
    </w:p>
    <w:p>
      <w:pPr>
        <w:pStyle w:val="ListBullet"/>
        <w:spacing w:after="40"/>
      </w:pPr>
      <w:r>
        <w:t>Phase 3: OpenClaw can rank deterministic candidates, but core still approves and executes.</w:t>
      </w:r>
    </w:p>
    <w:p>
      <w:pPr>
        <w:pStyle w:val="ListBullet"/>
        <w:spacing w:after="40"/>
      </w:pPr>
      <w:r>
        <w:t>Implement the Deterministic Intent Service before broadening recommendation scope.</w:t>
      </w:r>
    </w:p>
    <w:p>
      <w:pPr>
        <w:pStyle w:val="ListBullet"/>
        <w:spacing w:after="40"/>
      </w:pPr>
      <w:r>
        <w:t>Keep the OpenClaw-facing MCP surface minimal until replay and audit coverage are proven.</w:t>
      </w:r>
    </w:p>
    <w:p>
      <w:pPr>
        <w:pStyle w:val="Heading1"/>
      </w:pPr>
      <w:r>
        <w:t>20. Package contents</w:t>
      </w:r>
    </w:p>
    <w:p>
      <w:pPr>
        <w:spacing w:after="120"/>
      </w:pPr>
      <w:r>
        <w:t>The downloadable package accompanying this document includes the following deliverables:</w:t>
      </w:r>
    </w:p>
    <w:p>
      <w:pPr>
        <w:pStyle w:val="ListBullet"/>
        <w:spacing w:after="40"/>
      </w:pPr>
      <w:r>
        <w:t>This DOCX strategy and deployment specification</w:t>
      </w:r>
    </w:p>
    <w:p>
      <w:pPr>
        <w:pStyle w:val="ListBullet"/>
        <w:spacing w:after="40"/>
      </w:pPr>
      <w:r>
        <w:t>A README with folder structure and implementation notes</w:t>
      </w:r>
    </w:p>
    <w:p>
      <w:pPr>
        <w:pStyle w:val="ListBullet"/>
        <w:spacing w:after="40"/>
      </w:pPr>
      <w:r>
        <w:t>JSON schemas for primary messages</w:t>
      </w:r>
    </w:p>
    <w:p>
      <w:pPr>
        <w:pStyle w:val="ListBullet"/>
        <w:spacing w:after="40"/>
      </w:pPr>
      <w:r>
        <w:t>A C# Trading.Contracts project with subject constants and DTOs</w:t>
      </w:r>
    </w:p>
    <w:p>
      <w:pPr>
        <w:pStyle w:val="ListBullet"/>
        <w:spacing w:after="40"/>
      </w:pPr>
      <w:r>
        <w:t>A Mermaid security diagram and deployment blueprint markdown file</w:t>
      </w:r>
    </w:p>
    <w:p>
      <w:pPr>
        <w:pStyle w:val="Heading1"/>
      </w:pPr>
      <w:r>
        <w:t>Appendix A. Zone-by-zone security diagram</w:t>
      </w:r>
    </w:p>
    <w:p>
      <w:pPr>
        <w:spacing w:after="120"/>
      </w:pPr>
      <w:r>
        <w:t>Zone A -&gt; Zone B -&gt; Zone C -&gt; Zone D -&gt; Broker/Exchange. A: signal-webhook-gateway, edge-waf, ingress-auth. B: openclaw-orchestrator, workflow-router, session store. C: mcp-trading-bridge, read/write adapters, policy gateway, audit recorder. D: rule-engine, deterministic-intent-service, candidate-builder, risk-engine, OMS, execution-router, audit-ledger, NATS/JetStream.</w:t>
      </w:r>
    </w:p>
    <w:p>
      <w:pPr>
        <w:pStyle w:val="Heading1"/>
      </w:pPr>
      <w:r>
        <w:t>Appendix B. Design invariants</w:t>
      </w:r>
    </w:p>
    <w:p>
      <w:pPr>
        <w:pStyle w:val="ListBullet"/>
        <w:spacing w:after="40"/>
      </w:pPr>
      <w:r>
        <w:t>The Agent may recommend; only the core may decide and act.</w:t>
      </w:r>
    </w:p>
    <w:p>
      <w:pPr>
        <w:pStyle w:val="ListBullet"/>
        <w:spacing w:after="40"/>
      </w:pPr>
      <w:r>
        <w:t>No OpenClaw or MCP path may place, cancel, or amend orders.</w:t>
      </w:r>
    </w:p>
    <w:p>
      <w:pPr>
        <w:pStyle w:val="ListBullet"/>
        <w:spacing w:after="40"/>
      </w:pPr>
      <w:r>
        <w:t>No recommendation may bypass freshness, signature, policy, risk, or portfolio validation.</w:t>
      </w:r>
    </w:p>
    <w:p>
      <w:pPr>
        <w:pStyle w:val="ListBullet"/>
        <w:spacing w:after="40"/>
      </w:pPr>
      <w:r>
        <w:t>The authoritative state for orders, fills, and positions resides only in the core trading system.</w:t>
      </w:r>
    </w:p>
    <w:p>
      <w:pPr>
        <w:pStyle w:val="ListBullet"/>
        <w:spacing w:after="40"/>
      </w:pPr>
      <w:r>
        <w:t>Deterministic candidate generation and sizing occur only after recommendation validation and intent creation.</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C3F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F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