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Intrinsic-Time Regime-Adaptive ES Options Strategy</w:t>
      </w:r>
    </w:p>
    <w:p>
      <w:pPr>
        <w:jc w:val="center"/>
      </w:pPr>
      <w:r>
        <w:rPr>
          <w:i/>
          <w:color w:val="464646"/>
          <w:sz w:val="24"/>
        </w:rPr>
        <w:t>Institutional Strategy Specification, Event Model, and Production Architecture Blueprint</w:t>
      </w:r>
    </w:p>
    <w:p/>
    <w:p/>
    <w:p/>
    <w:p/>
    <w:p/>
    <w:p/>
    <w:tbl>
      <w:tblPr>
        <w:tblStyle w:val="TableGrid"/>
        <w:tblW w:type="auto" w:w="0"/>
        <w:jc w:val="center"/>
        <w:tblLook w:firstColumn="1" w:firstRow="1" w:lastColumn="0" w:lastRow="0" w:noHBand="0" w:noVBand="1" w:val="04A0"/>
      </w:tblPr>
      <w:tblGrid>
        <w:gridCol w:w="4824"/>
        <w:gridCol w:w="4824"/>
      </w:tblGrid>
      <w:tr>
        <w:tc>
          <w:tcPr>
            <w:tcW w:type="dxa" w:w="4824"/>
            <w:shd w:fill="D9E5F4"/>
            <w:vAlign w:val="center"/>
          </w:tcPr>
          <w:p>
            <w:pPr>
              <w:spacing w:after="40" w:before="40"/>
            </w:pPr>
            <w:r>
              <w:t>Document purpose</w:t>
            </w:r>
          </w:p>
        </w:tc>
        <w:tc>
          <w:tcPr>
            <w:tcW w:type="dxa" w:w="4824"/>
            <w:vAlign w:val="center"/>
          </w:tcPr>
          <w:p>
            <w:pPr>
              <w:spacing w:after="40" w:before="40"/>
            </w:pPr>
            <w:r>
              <w:t>Formal design specification for a regime-adaptive ES futures options strategy and its event-driven software architecture.</w:t>
            </w:r>
          </w:p>
        </w:tc>
      </w:tr>
      <w:tr>
        <w:tc>
          <w:tcPr>
            <w:tcW w:type="dxa" w:w="4824"/>
            <w:shd w:fill="D9E5F4"/>
            <w:vAlign w:val="center"/>
          </w:tcPr>
          <w:p>
            <w:pPr>
              <w:spacing w:after="40" w:before="40"/>
            </w:pPr>
            <w:r>
              <w:t>Trading domain</w:t>
            </w:r>
          </w:p>
        </w:tc>
        <w:tc>
          <w:tcPr>
            <w:tcW w:type="dxa" w:w="4824"/>
            <w:vAlign w:val="center"/>
          </w:tcPr>
          <w:p>
            <w:pPr>
              <w:spacing w:after="40" w:before="40"/>
            </w:pPr>
            <w:r>
              <w:t>Real-time algorithmic options trading with portfolio-level risk controls and regime-aware strategy selection.</w:t>
            </w:r>
          </w:p>
        </w:tc>
      </w:tr>
      <w:tr>
        <w:tc>
          <w:tcPr>
            <w:tcW w:type="dxa" w:w="4824"/>
            <w:shd w:fill="D9E5F4"/>
            <w:vAlign w:val="center"/>
          </w:tcPr>
          <w:p>
            <w:pPr>
              <w:spacing w:after="40" w:before="40"/>
            </w:pPr>
            <w:r>
              <w:t>Primary instruments</w:t>
            </w:r>
          </w:p>
        </w:tc>
        <w:tc>
          <w:tcPr>
            <w:tcW w:type="dxa" w:w="4824"/>
            <w:vAlign w:val="center"/>
          </w:tcPr>
          <w:p>
            <w:pPr>
              <w:spacing w:after="40" w:before="40"/>
            </w:pPr>
            <w:r>
              <w:t>ES futures options, optional ES futures for hedge references, VIX futures for regime signaling, and option-chain analytics.</w:t>
            </w:r>
          </w:p>
        </w:tc>
      </w:tr>
      <w:tr>
        <w:tc>
          <w:tcPr>
            <w:tcW w:type="dxa" w:w="4824"/>
            <w:shd w:fill="D9E5F4"/>
            <w:vAlign w:val="center"/>
          </w:tcPr>
          <w:p>
            <w:pPr>
              <w:spacing w:after="40" w:before="40"/>
            </w:pPr>
            <w:r>
              <w:t>Execution style</w:t>
            </w:r>
          </w:p>
        </w:tc>
        <w:tc>
          <w:tcPr>
            <w:tcW w:type="dxa" w:w="4824"/>
            <w:vAlign w:val="center"/>
          </w:tcPr>
          <w:p>
            <w:pPr>
              <w:spacing w:after="40" w:before="40"/>
            </w:pPr>
            <w:r>
              <w:t>Actor-model services, NATS messaging, event modeling with command/query/event flows, and GPU-assisted option risk simulation.</w:t>
            </w:r>
          </w:p>
        </w:tc>
      </w:tr>
      <w:tr>
        <w:tc>
          <w:tcPr>
            <w:tcW w:type="dxa" w:w="4824"/>
            <w:shd w:fill="D9E5F4"/>
            <w:vAlign w:val="center"/>
          </w:tcPr>
          <w:p>
            <w:pPr>
              <w:spacing w:after="40" w:before="40"/>
            </w:pPr>
            <w:r>
              <w:t>Implementation target</w:t>
            </w:r>
          </w:p>
        </w:tc>
        <w:tc>
          <w:tcPr>
            <w:tcW w:type="dxa" w:w="4824"/>
            <w:vAlign w:val="center"/>
          </w:tcPr>
          <w:p>
            <w:pPr>
              <w:spacing w:after="40" w:before="40"/>
            </w:pPr>
            <w:r>
              <w:t>C# starter architecture with interfaces, dependency injection, risk engine hooks, and environment-ready extension points.</w:t>
            </w:r>
          </w:p>
        </w:tc>
      </w:tr>
    </w:tbl>
    <w:p/>
    <w:p>
      <w:pPr>
        <w:pStyle w:val="SectionLead"/>
        <w:jc w:val="center"/>
      </w:pPr>
      <w:r>
        <w:rPr>
          <w:i/>
        </w:rPr>
        <w:t>Prepared as a design-grade specification suitable for system build-out, risk review, and controlled backtest implementation.</w:t>
      </w:r>
    </w:p>
    <w:p>
      <w:r>
        <w:br w:type="page"/>
      </w:r>
    </w:p>
    <w:p>
      <w:pPr>
        <w:pStyle w:val="Heading1"/>
      </w:pPr>
      <w:r>
        <w:t>Executive Summary</w:t>
      </w:r>
    </w:p>
    <w:p>
      <w:pPr>
        <w:pStyle w:val="SectionLead"/>
      </w:pPr>
      <w:r>
        <w:t>This specification converts the original concept into a regime-adaptive, risk-first options trading program. The resulting system does not force iron condors into trending markets; instead, it maps market states to the structure most consistent with directional behavior, volatility conditions, and tail-risk tolerance.</w:t>
      </w:r>
    </w:p>
    <w:p>
      <w:pPr>
        <w:spacing w:after="160"/>
      </w:pPr>
      <w:r>
        <w:t>The updated design is anchored around four operating principles. First, neutral short-volatility trades are only allowed in low-trend, stable-volatility environments. Second, directional regimes are expressed through directional option structures instead of neutral condors. Third, every candidate trade must pass forward-loss simulation, tail-risk stress, liquidity gates, and aggregate portfolio Greek controls before it is eligible for execution. Fourth, the software implementation is event modeled: decisions are emitted as commands, market and risk state are observed as events, and state inspection is served through query pathways.</w:t>
      </w:r>
    </w:p>
    <w:p>
      <w:pPr>
        <w:spacing w:after="160"/>
      </w:pPr>
      <w:r>
        <w:t>The strategy uses intrinsic time not only as an entry signal but also as a monitoring and exit framework. Intrinsic-time acceleration, ATR expansion, ADX transitions, VIX regime changes, and term-structure flips can all invalidate an open short-premium position before the maximum holding window is reached. This reduces the probability of holding short gamma into the precise type of move that typically causes outsized losses.</w:t>
      </w:r>
    </w:p>
    <w:p>
      <w:pPr>
        <w:spacing w:after="160"/>
      </w:pPr>
      <w:r>
        <w:t>The implementation architecture is organized as a set of actors connected through NATS subjects. Dedicated actors handle market-state calculation, regime classification, candidate generation, GPU pricing requests, portfolio risk control, LLM vetoing, execution routing, and position monitoring. Commands are explicit requests to do work, queries request current state, and events are the immutable record of what happened. This pattern keeps the system auditable, testable, and suitable for staged deployment.</w:t>
      </w:r>
    </w:p>
    <w:p>
      <w:pPr>
        <w:pStyle w:val="Heading2"/>
      </w:pPr>
      <w:r>
        <w:t>Priority Design Decisions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BFD3EA"/>
            <w:vAlign w:val="center"/>
          </w:tcPr>
          <w:p>
            <w:pPr>
              <w:spacing w:after="40" w:before="40"/>
            </w:pPr>
            <w:r>
              <w:t>Priority</w:t>
            </w:r>
          </w:p>
        </w:tc>
        <w:tc>
          <w:tcPr>
            <w:tcW w:type="dxa" w:w="2412"/>
            <w:shd w:fill="BFD3EA"/>
            <w:vAlign w:val="center"/>
          </w:tcPr>
          <w:p>
            <w:pPr>
              <w:spacing w:after="40" w:before="40"/>
            </w:pPr>
            <w:r>
              <w:t>Decision</w:t>
            </w:r>
          </w:p>
        </w:tc>
        <w:tc>
          <w:tcPr>
            <w:tcW w:type="dxa" w:w="2412"/>
            <w:shd w:fill="BFD3EA"/>
            <w:vAlign w:val="center"/>
          </w:tcPr>
          <w:p>
            <w:pPr>
              <w:spacing w:after="40" w:before="40"/>
            </w:pPr>
            <w:r>
              <w:t>Why It Matters</w:t>
            </w:r>
          </w:p>
        </w:tc>
        <w:tc>
          <w:tcPr>
            <w:tcW w:type="dxa" w:w="2412"/>
            <w:shd w:fill="BFD3EA"/>
            <w:vAlign w:val="center"/>
          </w:tcPr>
          <w:p>
            <w:pPr>
              <w:spacing w:after="40" w:before="40"/>
            </w:pPr>
            <w:r>
              <w:t>Operational Effect</w:t>
            </w:r>
          </w:p>
        </w:tc>
      </w:tr>
      <w:tr>
        <w:tc>
          <w:tcPr>
            <w:tcW w:type="dxa" w:w="2412"/>
            <w:vAlign w:val="center"/>
          </w:tcPr>
          <w:p>
            <w:pPr>
              <w:spacing w:after="40" w:before="40"/>
            </w:pPr>
            <w:r>
              <w:t>1</w:t>
            </w:r>
          </w:p>
        </w:tc>
        <w:tc>
          <w:tcPr>
            <w:tcW w:type="dxa" w:w="2412"/>
            <w:vAlign w:val="center"/>
          </w:tcPr>
          <w:p>
            <w:pPr>
              <w:spacing w:after="40" w:before="40"/>
            </w:pPr>
            <w:r>
              <w:t>Disable standard iron condors in trending markets</w:t>
            </w:r>
          </w:p>
        </w:tc>
        <w:tc>
          <w:tcPr>
            <w:tcW w:type="dxa" w:w="2412"/>
            <w:vAlign w:val="center"/>
          </w:tcPr>
          <w:p>
            <w:pPr>
              <w:spacing w:after="40" w:before="40"/>
            </w:pPr>
            <w:r>
              <w:t>Prevents short gamma exposure in directional expansion regimes</w:t>
            </w:r>
          </w:p>
        </w:tc>
        <w:tc>
          <w:tcPr>
            <w:tcW w:type="dxa" w:w="2412"/>
            <w:vAlign w:val="center"/>
          </w:tcPr>
          <w:p>
            <w:pPr>
              <w:spacing w:after="40" w:before="40"/>
            </w:pPr>
            <w:r>
              <w:t>Removes the main structural mismatch in the original design</w:t>
            </w:r>
          </w:p>
        </w:tc>
      </w:tr>
      <w:tr>
        <w:tc>
          <w:tcPr>
            <w:tcW w:type="dxa" w:w="2412"/>
            <w:vAlign w:val="center"/>
          </w:tcPr>
          <w:p>
            <w:pPr>
              <w:spacing w:after="40" w:before="40"/>
            </w:pPr>
            <w:r>
              <w:t>2</w:t>
            </w:r>
          </w:p>
        </w:tc>
        <w:tc>
          <w:tcPr>
            <w:tcW w:type="dxa" w:w="2412"/>
            <w:vAlign w:val="center"/>
          </w:tcPr>
          <w:p>
            <w:pPr>
              <w:spacing w:after="40" w:before="40"/>
            </w:pPr>
            <w:r>
              <w:t>Map uptrends and downtrends to directional spreads</w:t>
            </w:r>
          </w:p>
        </w:tc>
        <w:tc>
          <w:tcPr>
            <w:tcW w:type="dxa" w:w="2412"/>
            <w:vAlign w:val="center"/>
          </w:tcPr>
          <w:p>
            <w:pPr>
              <w:spacing w:after="40" w:before="40"/>
            </w:pPr>
            <w:r>
              <w:t>Aligns payoff shape with realized market behavior</w:t>
            </w:r>
          </w:p>
        </w:tc>
        <w:tc>
          <w:tcPr>
            <w:tcW w:type="dxa" w:w="2412"/>
            <w:vAlign w:val="center"/>
          </w:tcPr>
          <w:p>
            <w:pPr>
              <w:spacing w:after="40" w:before="40"/>
            </w:pPr>
            <w:r>
              <w:t>Improves directional consistency and reduces avoidable convex losses</w:t>
            </w:r>
          </w:p>
        </w:tc>
      </w:tr>
      <w:tr>
        <w:tc>
          <w:tcPr>
            <w:tcW w:type="dxa" w:w="2412"/>
            <w:vAlign w:val="center"/>
          </w:tcPr>
          <w:p>
            <w:pPr>
              <w:spacing w:after="40" w:before="40"/>
            </w:pPr>
            <w:r>
              <w:t>3</w:t>
            </w:r>
          </w:p>
        </w:tc>
        <w:tc>
          <w:tcPr>
            <w:tcW w:type="dxa" w:w="2412"/>
            <w:vAlign w:val="center"/>
          </w:tcPr>
          <w:p>
            <w:pPr>
              <w:spacing w:after="40" w:before="40"/>
            </w:pPr>
            <w:r>
              <w:t>Make VIX regimes prescriptive, not descriptive</w:t>
            </w:r>
          </w:p>
        </w:tc>
        <w:tc>
          <w:tcPr>
            <w:tcW w:type="dxa" w:w="2412"/>
            <w:vAlign w:val="center"/>
          </w:tcPr>
          <w:p>
            <w:pPr>
              <w:spacing w:after="40" w:before="40"/>
            </w:pPr>
            <w:r>
              <w:t>Turns volatility labels into trade sizing and eligibility rules</w:t>
            </w:r>
          </w:p>
        </w:tc>
        <w:tc>
          <w:tcPr>
            <w:tcW w:type="dxa" w:w="2412"/>
            <w:vAlign w:val="center"/>
          </w:tcPr>
          <w:p>
            <w:pPr>
              <w:spacing w:after="40" w:before="40"/>
            </w:pPr>
            <w:r>
              <w:t>Standardizes behavior under low, normal, high, and extreme volatility</w:t>
            </w:r>
          </w:p>
        </w:tc>
      </w:tr>
      <w:tr>
        <w:tc>
          <w:tcPr>
            <w:tcW w:type="dxa" w:w="2412"/>
            <w:vAlign w:val="center"/>
          </w:tcPr>
          <w:p>
            <w:pPr>
              <w:spacing w:after="40" w:before="40"/>
            </w:pPr>
            <w:r>
              <w:t>4</w:t>
            </w:r>
          </w:p>
        </w:tc>
        <w:tc>
          <w:tcPr>
            <w:tcW w:type="dxa" w:w="2412"/>
            <w:vAlign w:val="center"/>
          </w:tcPr>
          <w:p>
            <w:pPr>
              <w:spacing w:after="40" w:before="40"/>
            </w:pPr>
            <w:r>
              <w:t>Use GPU forward pricing plus CVaR and stress loss gates</w:t>
            </w:r>
          </w:p>
        </w:tc>
        <w:tc>
          <w:tcPr>
            <w:tcW w:type="dxa" w:w="2412"/>
            <w:vAlign w:val="center"/>
          </w:tcPr>
          <w:p>
            <w:pPr>
              <w:spacing w:after="40" w:before="40"/>
            </w:pPr>
            <w:r>
              <w:t>Makes risk the acceptance criterion rather than a post-entry observation</w:t>
            </w:r>
          </w:p>
        </w:tc>
        <w:tc>
          <w:tcPr>
            <w:tcW w:type="dxa" w:w="2412"/>
            <w:vAlign w:val="center"/>
          </w:tcPr>
          <w:p>
            <w:pPr>
              <w:spacing w:after="40" w:before="40"/>
            </w:pPr>
            <w:r>
              <w:t>Rejects trades that look attractive on theta but fail on tail loss</w:t>
            </w:r>
          </w:p>
        </w:tc>
      </w:tr>
      <w:tr>
        <w:tc>
          <w:tcPr>
            <w:tcW w:type="dxa" w:w="2412"/>
            <w:vAlign w:val="center"/>
          </w:tcPr>
          <w:p>
            <w:pPr>
              <w:spacing w:after="40" w:before="40"/>
            </w:pPr>
            <w:r>
              <w:t>5</w:t>
            </w:r>
          </w:p>
        </w:tc>
        <w:tc>
          <w:tcPr>
            <w:tcW w:type="dxa" w:w="2412"/>
            <w:vAlign w:val="center"/>
          </w:tcPr>
          <w:p>
            <w:pPr>
              <w:spacing w:after="40" w:before="40"/>
            </w:pPr>
            <w:r>
              <w:t>Implement portfolio Greek caps and regime concentration limits</w:t>
            </w:r>
          </w:p>
        </w:tc>
        <w:tc>
          <w:tcPr>
            <w:tcW w:type="dxa" w:w="2412"/>
            <w:vAlign w:val="center"/>
          </w:tcPr>
          <w:p>
            <w:pPr>
              <w:spacing w:after="40" w:before="40"/>
            </w:pPr>
            <w:r>
              <w:t>Avoids correlated risk build-up across otherwise valid trades</w:t>
            </w:r>
          </w:p>
        </w:tc>
        <w:tc>
          <w:tcPr>
            <w:tcW w:type="dxa" w:w="2412"/>
            <w:vAlign w:val="center"/>
          </w:tcPr>
          <w:p>
            <w:pPr>
              <w:spacing w:after="40" w:before="40"/>
            </w:pPr>
            <w:r>
              <w:t>Improves survivability across clustered-volatility events</w:t>
            </w:r>
          </w:p>
        </w:tc>
      </w:tr>
      <w:tr>
        <w:tc>
          <w:tcPr>
            <w:tcW w:type="dxa" w:w="2412"/>
            <w:vAlign w:val="center"/>
          </w:tcPr>
          <w:p>
            <w:pPr>
              <w:spacing w:after="40" w:before="40"/>
            </w:pPr>
            <w:r>
              <w:t>6</w:t>
            </w:r>
          </w:p>
        </w:tc>
        <w:tc>
          <w:tcPr>
            <w:tcW w:type="dxa" w:w="2412"/>
            <w:vAlign w:val="center"/>
          </w:tcPr>
          <w:p>
            <w:pPr>
              <w:spacing w:after="40" w:before="40"/>
            </w:pPr>
            <w:r>
              <w:t>Constrain the LLM to veto and confidence weighting</w:t>
            </w:r>
          </w:p>
        </w:tc>
        <w:tc>
          <w:tcPr>
            <w:tcW w:type="dxa" w:w="2412"/>
            <w:vAlign w:val="center"/>
          </w:tcPr>
          <w:p>
            <w:pPr>
              <w:spacing w:after="40" w:before="40"/>
            </w:pPr>
            <w:r>
              <w:t>Keeps the model from becoming an uncontrolled signal source</w:t>
            </w:r>
          </w:p>
        </w:tc>
        <w:tc>
          <w:tcPr>
            <w:tcW w:type="dxa" w:w="2412"/>
            <w:vAlign w:val="center"/>
          </w:tcPr>
          <w:p>
            <w:pPr>
              <w:spacing w:after="40" w:before="40"/>
            </w:pPr>
            <w:r>
              <w:t>Reduces overfitting and preserves deterministic governance</w:t>
            </w:r>
          </w:p>
        </w:tc>
      </w:tr>
    </w:tbl>
    <w:p>
      <w:pPr>
        <w:pStyle w:val="Heading1"/>
      </w:pPr>
      <w:r>
        <w:t>1. Strategy Charter and Scope</w:t>
      </w:r>
    </w:p>
    <w:p>
      <w:pPr>
        <w:pStyle w:val="SectionLead"/>
      </w:pPr>
      <w:r>
        <w:t>This section defines what the strategy is intended to do, what it is not intended to do, and the business constraints that govern deployment.</w:t>
      </w:r>
    </w:p>
    <w:p>
      <w:r>
        <w:t>The strategy is intended to monetize options edge by selecting a structure that matches the current market regime rather than by imposing a single options structure across all environments. The base use case is trading ES futures options in weekly and monthly sleeves, with trade selection driven by intrinsic-time signals, volatility regime classification, trend-strength filters, and forward-loss simulation.</w:t>
      </w:r>
    </w:p>
    <w:p>
      <w:r>
        <w:t>The strategy is not intended to be a discretionary overlay disguised as automation. Every eligible trade must pass codified rules. Human review may exist during phased rollout, but the design target is deterministic execution under parameterized controls. Likewise, the LLM component is not a discretionary authority; it can only downweight or veto entries when its output conflicts with higher-quality deterministic evidence.</w:t>
      </w:r>
    </w:p>
    <w:p>
      <w:r>
        <w:t>All performance claims arising from research or backtests must be treated as provisional until validated under realistic slippage, bid-ask friction, contract rolls, event-risk exclusions, and portfolio-level aggregation. The specification should therefore be read as a governance and implementation document first, and only secondarily as a research summary.</w:t>
      </w:r>
    </w:p>
    <w:p>
      <w:pPr>
        <w:pStyle w:val="Heading2"/>
      </w:pPr>
      <w:r>
        <w:t>1.1 Success Criteria</w:t>
      </w:r>
    </w:p>
    <w:p>
      <w:pPr>
        <w:pStyle w:val="ListBullet"/>
        <w:ind w:left="0"/>
      </w:pPr>
      <w:r>
        <w:t>Positive expectancy after realistic execution assumptions and margin-aware capital usage.</w:t>
      </w:r>
    </w:p>
    <w:p>
      <w:pPr>
        <w:pStyle w:val="ListBullet"/>
        <w:ind w:left="0"/>
      </w:pPr>
      <w:r>
        <w:t>Meaningful reduction of left-tail outcomes relative to the original iron-condor-in-trend concept.</w:t>
      </w:r>
    </w:p>
    <w:p>
      <w:pPr>
        <w:pStyle w:val="ListBullet"/>
        <w:ind w:left="0"/>
      </w:pPr>
      <w:r>
        <w:t>Stable trade classification behavior across range, developing trend, strong trend, and transition regimes.</w:t>
      </w:r>
    </w:p>
    <w:p>
      <w:pPr>
        <w:pStyle w:val="ListBullet"/>
        <w:ind w:left="0"/>
      </w:pPr>
      <w:r>
        <w:t>Clear audit trail from market-state observation to command issuance and execution acknowledgement.</w:t>
      </w:r>
    </w:p>
    <w:p>
      <w:pPr>
        <w:pStyle w:val="ListBullet"/>
        <w:ind w:left="0"/>
      </w:pPr>
      <w:r>
        <w:t>Production architecture suitable for staged rollout, replay, and failure recovery.</w:t>
      </w:r>
    </w:p>
    <w:p>
      <w:pPr>
        <w:pStyle w:val="Heading2"/>
      </w:pPr>
      <w:r>
        <w:t>1.2 Non-Goals</w:t>
      </w:r>
    </w:p>
    <w:p>
      <w:pPr>
        <w:pStyle w:val="ListBullet"/>
        <w:ind w:left="0"/>
      </w:pPr>
      <w:r>
        <w:t>Predicting every short-term ES move with a directional model.</w:t>
      </w:r>
    </w:p>
    <w:p>
      <w:pPr>
        <w:pStyle w:val="ListBullet"/>
        <w:ind w:left="0"/>
      </w:pPr>
      <w:r>
        <w:t>Maximizing trade frequency at the expense of regime discipline.</w:t>
      </w:r>
    </w:p>
    <w:p>
      <w:pPr>
        <w:pStyle w:val="ListBullet"/>
        <w:ind w:left="0"/>
      </w:pPr>
      <w:r>
        <w:t>Allowing opaque AI decisions to override hard risk controls.</w:t>
      </w:r>
    </w:p>
    <w:p>
      <w:pPr>
        <w:pStyle w:val="ListBullet"/>
        <w:ind w:left="0"/>
      </w:pPr>
      <w:r>
        <w:t>Optimizing backtests by repeatedly curve-fitting thresholds without walk-forward validation.</w:t>
      </w:r>
    </w:p>
    <w:p>
      <w:pPr>
        <w:pStyle w:val="Heading1"/>
      </w:pPr>
      <w:r>
        <w:t>2. Market, Instrument, and Horizon Definition</w:t>
      </w:r>
    </w:p>
    <w:p>
      <w:pPr>
        <w:pStyle w:val="SectionLead"/>
      </w:pPr>
      <w:r>
        <w:t>The strategy trades listed options on ES futures and uses regime inputs from price action, volatility, and term structure.</w:t>
      </w:r>
    </w:p>
    <w:p>
      <w:r>
        <w:t>Weekly sleeve entries target 14 to 28 days to expiration and are held for approximately 3 to 10 days unless a dynamic exit is triggered earlier. Monthly sleeve entries target 30 to 45 days to expiration and are held for no longer than 30 days. The objective of splitting the book into sleeves is not merely calendar diversification; it is to separate shorter-theta capture opportunities from slower regime-expression trades without allowing risk aggregation to become opaque.</w:t>
      </w:r>
    </w:p>
    <w:p>
      <w:r>
        <w:t>Instrument selection must respect liquidity, bid-ask width, strike availability, and open interest. If the chosen structure cannot be executed within defined slippage tolerance, the trade is rejected rather than forced. Liquidity gating is a first-class rule rather than an execution afterthought.</w:t>
      </w:r>
    </w:p>
    <w:p>
      <w:r>
        <w:t>VIX futures are used as regime indicators, not as directly tradable legs in the core strategy. The software architecture must nonetheless treat those data streams as critical dependencies because term-structure state meaningfully affects whether short-volatility trades are allowed.</w:t>
      </w:r>
    </w:p>
    <w:p>
      <w:pPr>
        <w:pStyle w:val="Heading2"/>
      </w:pPr>
      <w:r>
        <w:t>2.1 Trading Structures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BFD3EA"/>
          </w:tcPr>
          <w:p>
            <w:r>
              <w:t>Structure</w:t>
            </w:r>
          </w:p>
        </w:tc>
        <w:tc>
          <w:tcPr>
            <w:tcW w:type="dxa" w:w="2412"/>
            <w:shd w:fill="BFD3EA"/>
          </w:tcPr>
          <w:p>
            <w:r>
              <w:t>Primary Use Case</w:t>
            </w:r>
          </w:p>
        </w:tc>
        <w:tc>
          <w:tcPr>
            <w:tcW w:type="dxa" w:w="2412"/>
            <w:shd w:fill="BFD3EA"/>
          </w:tcPr>
          <w:p>
            <w:r>
              <w:t>Core Risk Profile</w:t>
            </w:r>
          </w:p>
        </w:tc>
        <w:tc>
          <w:tcPr>
            <w:tcW w:type="dxa" w:w="2412"/>
            <w:shd w:fill="BFD3EA"/>
          </w:tcPr>
          <w:p>
            <w:r>
              <w:t>When Preferred</w:t>
            </w:r>
          </w:p>
        </w:tc>
      </w:tr>
      <w:tr>
        <w:tc>
          <w:tcPr>
            <w:tcW w:type="dxa" w:w="2412"/>
          </w:tcPr>
          <w:p>
            <w:r>
              <w:t>Symmetric Iron Condor</w:t>
            </w:r>
          </w:p>
        </w:tc>
        <w:tc>
          <w:tcPr>
            <w:tcW w:type="dxa" w:w="2412"/>
          </w:tcPr>
          <w:p>
            <w:r>
              <w:t>Range-bound normal-volatility markets</w:t>
            </w:r>
          </w:p>
        </w:tc>
        <w:tc>
          <w:tcPr>
            <w:tcW w:type="dxa" w:w="2412"/>
          </w:tcPr>
          <w:p>
            <w:r>
              <w:t>Defined risk, short gamma, short vega, positive theta</w:t>
            </w:r>
          </w:p>
        </w:tc>
        <w:tc>
          <w:tcPr>
            <w:tcW w:type="dxa" w:w="2412"/>
          </w:tcPr>
          <w:p>
            <w:r>
              <w:t>ADX low, VIX normal, contango stable, no transition flag</w:t>
            </w:r>
          </w:p>
        </w:tc>
      </w:tr>
      <w:tr>
        <w:tc>
          <w:tcPr>
            <w:tcW w:type="dxa" w:w="2412"/>
          </w:tcPr>
          <w:p>
            <w:r>
              <w:t>Broken-Wing Iron Condor</w:t>
            </w:r>
          </w:p>
        </w:tc>
        <w:tc>
          <w:tcPr>
            <w:tcW w:type="dxa" w:w="2412"/>
          </w:tcPr>
          <w:p>
            <w:r>
              <w:t>Range-bound but higher-volatility or mildly directional markets</w:t>
            </w:r>
          </w:p>
        </w:tc>
        <w:tc>
          <w:tcPr>
            <w:tcW w:type="dxa" w:w="2412"/>
          </w:tcPr>
          <w:p>
            <w:r>
              <w:t>Defined risk with asymmetry, still primarily short premium</w:t>
            </w:r>
          </w:p>
        </w:tc>
        <w:tc>
          <w:tcPr>
            <w:tcW w:type="dxa" w:w="2412"/>
          </w:tcPr>
          <w:p>
            <w:r>
              <w:t>High VIX but not extreme, or slight directional skew</w:t>
            </w:r>
          </w:p>
        </w:tc>
      </w:tr>
      <w:tr>
        <w:tc>
          <w:tcPr>
            <w:tcW w:type="dxa" w:w="2412"/>
          </w:tcPr>
          <w:p>
            <w:r>
              <w:t>Bull Put Spread</w:t>
            </w:r>
          </w:p>
        </w:tc>
        <w:tc>
          <w:tcPr>
            <w:tcW w:type="dxa" w:w="2412"/>
          </w:tcPr>
          <w:p>
            <w:r>
              <w:t>Moderate bullish trend</w:t>
            </w:r>
          </w:p>
        </w:tc>
        <w:tc>
          <w:tcPr>
            <w:tcW w:type="dxa" w:w="2412"/>
          </w:tcPr>
          <w:p>
            <w:r>
              <w:t>Defined risk, short downside premium, positive theta</w:t>
            </w:r>
          </w:p>
        </w:tc>
        <w:tc>
          <w:tcPr>
            <w:tcW w:type="dxa" w:w="2412"/>
          </w:tcPr>
          <w:p>
            <w:r>
              <w:t>Developing uptrend with manageable volatility</w:t>
            </w:r>
          </w:p>
        </w:tc>
      </w:tr>
      <w:tr>
        <w:tc>
          <w:tcPr>
            <w:tcW w:type="dxa" w:w="2412"/>
          </w:tcPr>
          <w:p>
            <w:r>
              <w:t>Bear Call Spread</w:t>
            </w:r>
          </w:p>
        </w:tc>
        <w:tc>
          <w:tcPr>
            <w:tcW w:type="dxa" w:w="2412"/>
          </w:tcPr>
          <w:p>
            <w:r>
              <w:t>Moderate bearish trend</w:t>
            </w:r>
          </w:p>
        </w:tc>
        <w:tc>
          <w:tcPr>
            <w:tcW w:type="dxa" w:w="2412"/>
          </w:tcPr>
          <w:p>
            <w:r>
              <w:t>Defined risk, short upside premium, positive theta</w:t>
            </w:r>
          </w:p>
        </w:tc>
        <w:tc>
          <w:tcPr>
            <w:tcW w:type="dxa" w:w="2412"/>
          </w:tcPr>
          <w:p>
            <w:r>
              <w:t>Developing downtrend with manageable volatility</w:t>
            </w:r>
          </w:p>
        </w:tc>
      </w:tr>
      <w:tr>
        <w:tc>
          <w:tcPr>
            <w:tcW w:type="dxa" w:w="2412"/>
          </w:tcPr>
          <w:p>
            <w:r>
              <w:t>Put Debit Spread</w:t>
            </w:r>
          </w:p>
        </w:tc>
        <w:tc>
          <w:tcPr>
            <w:tcW w:type="dxa" w:w="2412"/>
          </w:tcPr>
          <w:p>
            <w:r>
              <w:t>Strong bearish move or downside acceleration</w:t>
            </w:r>
          </w:p>
        </w:tc>
        <w:tc>
          <w:tcPr>
            <w:tcW w:type="dxa" w:w="2412"/>
          </w:tcPr>
          <w:p>
            <w:r>
              <w:t>Defined risk, long convex downside exposure</w:t>
            </w:r>
          </w:p>
        </w:tc>
        <w:tc>
          <w:tcPr>
            <w:tcW w:type="dxa" w:w="2412"/>
          </w:tcPr>
          <w:p>
            <w:r>
              <w:t>Strong downside trend or breakout regime</w:t>
            </w:r>
          </w:p>
        </w:tc>
      </w:tr>
      <w:tr>
        <w:tc>
          <w:tcPr>
            <w:tcW w:type="dxa" w:w="2412"/>
          </w:tcPr>
          <w:p>
            <w:r>
              <w:t>Call Debit Spread</w:t>
            </w:r>
          </w:p>
        </w:tc>
        <w:tc>
          <w:tcPr>
            <w:tcW w:type="dxa" w:w="2412"/>
          </w:tcPr>
          <w:p>
            <w:r>
              <w:t>Strong upside move or upside acceleration</w:t>
            </w:r>
          </w:p>
        </w:tc>
        <w:tc>
          <w:tcPr>
            <w:tcW w:type="dxa" w:w="2412"/>
          </w:tcPr>
          <w:p>
            <w:r>
              <w:t>Defined risk, long convex upside exposure</w:t>
            </w:r>
          </w:p>
        </w:tc>
        <w:tc>
          <w:tcPr>
            <w:tcW w:type="dxa" w:w="2412"/>
          </w:tcPr>
          <w:p>
            <w:r>
              <w:t>Strong upside trend or breakout regime</w:t>
            </w:r>
          </w:p>
        </w:tc>
      </w:tr>
      <w:tr>
        <w:tc>
          <w:tcPr>
            <w:tcW w:type="dxa" w:w="2412"/>
          </w:tcPr>
          <w:p>
            <w:r>
              <w:t>Long Volatility Structure</w:t>
            </w:r>
          </w:p>
        </w:tc>
        <w:tc>
          <w:tcPr>
            <w:tcW w:type="dxa" w:w="2412"/>
          </w:tcPr>
          <w:p>
            <w:r>
              <w:t>Extreme volatility or instability</w:t>
            </w:r>
          </w:p>
        </w:tc>
        <w:tc>
          <w:tcPr>
            <w:tcW w:type="dxa" w:w="2412"/>
          </w:tcPr>
          <w:p>
            <w:r>
              <w:t>Positive convexity, negative theta</w:t>
            </w:r>
          </w:p>
        </w:tc>
        <w:tc>
          <w:tcPr>
            <w:tcW w:type="dxa" w:w="2412"/>
          </w:tcPr>
          <w:p>
            <w:r>
              <w:t>Extreme VIX, severe backwardation, or shock conditions</w:t>
            </w:r>
          </w:p>
        </w:tc>
      </w:tr>
    </w:tbl>
    <w:p>
      <w:pPr>
        <w:pStyle w:val="Heading1"/>
      </w:pPr>
      <w:r>
        <w:t>3. Regime Engine Design</w:t>
      </w:r>
    </w:p>
    <w:p>
      <w:pPr>
        <w:pStyle w:val="SectionLead"/>
      </w:pPr>
      <w:r>
        <w:t>The regime engine is the central decision substrate. It converts raw market observations into stable classifications that determine eligibility, sizing, and monitoring behavior.</w:t>
      </w:r>
    </w:p>
    <w:p>
      <w:r>
        <w:t>The original concept classified volatility, but it did not fully map those regimes to prescriptive actions. The revised framework treats regime labels as executable states. Range versus trend determines the family of structures allowed. Volatility level and term structure determine whether short-volatility trades are attractive, merely acceptable, or prohibited. Transition detection acts as a separate layer because many of the worst losses occur during regime shifts, not during fully established stable states.</w:t>
      </w:r>
    </w:p>
    <w:p>
      <w:r>
        <w:t>Intrinsic time is used to reduce sensitivity to arbitrary clock-based sampling. Event-based bars or directional-change logic are preferred because they capture meaningful movement and state transitions in a way that often aligns more closely with option risk than fixed calendar intervals alone.</w:t>
      </w:r>
    </w:p>
    <w:p>
      <w:pPr>
        <w:pStyle w:val="Heading2"/>
      </w:pPr>
      <w:r>
        <w:t>3.1 Trend Regime</w:t>
      </w:r>
    </w:p>
    <w:p>
      <w:r>
        <w:t>Suggested baseline thresholds:</w:t>
      </w:r>
    </w:p>
    <w:p>
      <w:pPr>
        <w:pStyle w:val="ListBullet"/>
        <w:ind w:left="0"/>
      </w:pPr>
      <w:r>
        <w:t>ADX &lt; 20: range or weak-trend regime.</w:t>
      </w:r>
    </w:p>
    <w:p>
      <w:pPr>
        <w:pStyle w:val="ListBullet"/>
        <w:ind w:left="0"/>
      </w:pPr>
      <w:r>
        <w:t>ADX 20 to 30: developing trend.</w:t>
      </w:r>
    </w:p>
    <w:p>
      <w:pPr>
        <w:pStyle w:val="ListBullet"/>
        <w:ind w:left="0"/>
      </w:pPr>
      <w:r>
        <w:t>ADX &gt; 30: strong trend.</w:t>
      </w:r>
    </w:p>
    <w:p>
      <w:pPr>
        <w:pStyle w:val="ListBullet"/>
        <w:ind w:left="0"/>
      </w:pPr>
      <w:r>
        <w:t>Direction bias derived from intrinsic-time direction, higher-timeframe slope, breakout context, and supporting trend measures.</w:t>
      </w:r>
    </w:p>
    <w:p>
      <w:pPr>
        <w:pStyle w:val="Heading2"/>
      </w:pPr>
      <w:r>
        <w:t>3.2 Volatility Regime</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1930"/>
            <w:shd w:fill="BFD3EA"/>
          </w:tcPr>
          <w:p>
            <w:r>
              <w:t>VIX Regime</w:t>
            </w:r>
          </w:p>
        </w:tc>
        <w:tc>
          <w:tcPr>
            <w:tcW w:type="dxa" w:w="1930"/>
            <w:shd w:fill="BFD3EA"/>
          </w:tcPr>
          <w:p>
            <w:r>
              <w:t>Threshold</w:t>
            </w:r>
          </w:p>
        </w:tc>
        <w:tc>
          <w:tcPr>
            <w:tcW w:type="dxa" w:w="1930"/>
            <w:shd w:fill="BFD3EA"/>
          </w:tcPr>
          <w:p>
            <w:r>
              <w:t>Short Premium Stance</w:t>
            </w:r>
          </w:p>
        </w:tc>
        <w:tc>
          <w:tcPr>
            <w:tcW w:type="dxa" w:w="1930"/>
            <w:shd w:fill="BFD3EA"/>
          </w:tcPr>
          <w:p>
            <w:r>
              <w:t>Size Guidance</w:t>
            </w:r>
          </w:p>
        </w:tc>
        <w:tc>
          <w:tcPr>
            <w:tcW w:type="dxa" w:w="1930"/>
            <w:shd w:fill="BFD3EA"/>
          </w:tcPr>
          <w:p>
            <w:r>
              <w:t>Default Structures</w:t>
            </w:r>
          </w:p>
        </w:tc>
      </w:tr>
      <w:tr>
        <w:tc>
          <w:tcPr>
            <w:tcW w:type="dxa" w:w="1930"/>
          </w:tcPr>
          <w:p>
            <w:r>
              <w:t>Low</w:t>
            </w:r>
          </w:p>
        </w:tc>
        <w:tc>
          <w:tcPr>
            <w:tcW w:type="dxa" w:w="1930"/>
          </w:tcPr>
          <w:p>
            <w:r>
              <w:t>&lt; 12</w:t>
            </w:r>
          </w:p>
        </w:tc>
        <w:tc>
          <w:tcPr>
            <w:tcW w:type="dxa" w:w="1930"/>
          </w:tcPr>
          <w:p>
            <w:r>
              <w:t>Cautious; premium may be underpriced</w:t>
            </w:r>
          </w:p>
        </w:tc>
        <w:tc>
          <w:tcPr>
            <w:tcW w:type="dxa" w:w="1930"/>
          </w:tcPr>
          <w:p>
            <w:r>
              <w:t>Small or no size</w:t>
            </w:r>
          </w:p>
        </w:tc>
        <w:tc>
          <w:tcPr>
            <w:tcW w:type="dxa" w:w="1930"/>
          </w:tcPr>
          <w:p>
            <w:r>
              <w:t>Selective range structures only</w:t>
            </w:r>
          </w:p>
        </w:tc>
      </w:tr>
      <w:tr>
        <w:tc>
          <w:tcPr>
            <w:tcW w:type="dxa" w:w="1930"/>
          </w:tcPr>
          <w:p>
            <w:r>
              <w:t>Normal</w:t>
            </w:r>
          </w:p>
        </w:tc>
        <w:tc>
          <w:tcPr>
            <w:tcW w:type="dxa" w:w="1930"/>
          </w:tcPr>
          <w:p>
            <w:r>
              <w:t>12 to 20</w:t>
            </w:r>
          </w:p>
        </w:tc>
        <w:tc>
          <w:tcPr>
            <w:tcW w:type="dxa" w:w="1930"/>
          </w:tcPr>
          <w:p>
            <w:r>
              <w:t>Preferred short-premium zone if range-bound</w:t>
            </w:r>
          </w:p>
        </w:tc>
        <w:tc>
          <w:tcPr>
            <w:tcW w:type="dxa" w:w="1930"/>
          </w:tcPr>
          <w:p>
            <w:r>
              <w:t>Baseline size</w:t>
            </w:r>
          </w:p>
        </w:tc>
        <w:tc>
          <w:tcPr>
            <w:tcW w:type="dxa" w:w="1930"/>
          </w:tcPr>
          <w:p>
            <w:r>
              <w:t>Iron condor or directional credit spread</w:t>
            </w:r>
          </w:p>
        </w:tc>
      </w:tr>
      <w:tr>
        <w:tc>
          <w:tcPr>
            <w:tcW w:type="dxa" w:w="1930"/>
          </w:tcPr>
          <w:p>
            <w:r>
              <w:t>High</w:t>
            </w:r>
          </w:p>
        </w:tc>
        <w:tc>
          <w:tcPr>
            <w:tcW w:type="dxa" w:w="1930"/>
          </w:tcPr>
          <w:p>
            <w:r>
              <w:t>20 to 30</w:t>
            </w:r>
          </w:p>
        </w:tc>
        <w:tc>
          <w:tcPr>
            <w:tcW w:type="dxa" w:w="1930"/>
          </w:tcPr>
          <w:p>
            <w:r>
              <w:t>Reduce size; widen wings; shorten tolerance</w:t>
            </w:r>
          </w:p>
        </w:tc>
        <w:tc>
          <w:tcPr>
            <w:tcW w:type="dxa" w:w="1930"/>
          </w:tcPr>
          <w:p>
            <w:r>
              <w:t>Half or less of baseline</w:t>
            </w:r>
          </w:p>
        </w:tc>
        <w:tc>
          <w:tcPr>
            <w:tcW w:type="dxa" w:w="1930"/>
          </w:tcPr>
          <w:p>
            <w:r>
              <w:t>Broken-wing condor or small directional spread</w:t>
            </w:r>
          </w:p>
        </w:tc>
      </w:tr>
      <w:tr>
        <w:tc>
          <w:tcPr>
            <w:tcW w:type="dxa" w:w="1930"/>
          </w:tcPr>
          <w:p>
            <w:r>
              <w:t>Extreme</w:t>
            </w:r>
          </w:p>
        </w:tc>
        <w:tc>
          <w:tcPr>
            <w:tcW w:type="dxa" w:w="1930"/>
          </w:tcPr>
          <w:p>
            <w:r>
              <w:t>&gt;= 30</w:t>
            </w:r>
          </w:p>
        </w:tc>
        <w:tc>
          <w:tcPr>
            <w:tcW w:type="dxa" w:w="1930"/>
          </w:tcPr>
          <w:p>
            <w:r>
              <w:t>Disable standard short condors</w:t>
            </w:r>
          </w:p>
        </w:tc>
        <w:tc>
          <w:tcPr>
            <w:tcW w:type="dxa" w:w="1930"/>
          </w:tcPr>
          <w:p>
            <w:r>
              <w:t>Zero standard short-condor size</w:t>
            </w:r>
          </w:p>
        </w:tc>
        <w:tc>
          <w:tcPr>
            <w:tcW w:type="dxa" w:w="1930"/>
          </w:tcPr>
          <w:p>
            <w:r>
              <w:t>Long vol or no trade</w:t>
            </w:r>
          </w:p>
        </w:tc>
      </w:tr>
    </w:tbl>
    <w:p>
      <w:pPr>
        <w:pStyle w:val="Heading2"/>
      </w:pPr>
      <w:r>
        <w:t>3.3 Term Structure Regime</w:t>
      </w:r>
    </w:p>
    <w:p>
      <w:r>
        <w:t>Contango supports short-volatility strategies when other conditions agree because implied volatility usually normalizes more favorably for premium sellers in stable markets. Flat or weak contango warrants caution. Backwardation is treated as a stress signal: it indicates elevated demand for near-term protection and is therefore an environment where standard short-premium structures should be restricted or disabled.</w:t>
      </w:r>
    </w:p>
    <w:p>
      <w:r>
        <w:t>The software design should not represent term structure as a single scalar only. It should track the actual relationship among front-month and second-month VIX futures, and it should emit a distinct event whenever the classification changes. Those state-change events are often more informative operationally than the absolute values alone.</w:t>
      </w:r>
    </w:p>
    <w:p>
      <w:pPr>
        <w:pStyle w:val="Heading2"/>
      </w:pPr>
      <w:r>
        <w:t>3.4 Transition Detection</w:t>
      </w:r>
    </w:p>
    <w:p>
      <w:pPr>
        <w:pStyle w:val="ListBullet"/>
        <w:ind w:left="0"/>
      </w:pPr>
      <w:r>
        <w:t>Rising ADX from a low base.</w:t>
      </w:r>
    </w:p>
    <w:p>
      <w:pPr>
        <w:pStyle w:val="ListBullet"/>
        <w:ind w:left="0"/>
      </w:pPr>
      <w:r>
        <w:t>ATR expansion beyond configured multiple of entry ATR.</w:t>
      </w:r>
    </w:p>
    <w:p>
      <w:pPr>
        <w:pStyle w:val="ListBullet"/>
        <w:ind w:left="0"/>
      </w:pPr>
      <w:r>
        <w:t>VIX regime jump to a higher band.</w:t>
      </w:r>
    </w:p>
    <w:p>
      <w:pPr>
        <w:pStyle w:val="ListBullet"/>
        <w:ind w:left="0"/>
      </w:pPr>
      <w:r>
        <w:t>Term structure flip from contango toward backwardation.</w:t>
      </w:r>
    </w:p>
    <w:p>
      <w:pPr>
        <w:pStyle w:val="ListBullet"/>
        <w:ind w:left="0"/>
      </w:pPr>
      <w:r>
        <w:t>Intrinsic-time directional acceleration against an open short-premium position.</w:t>
      </w:r>
    </w:p>
    <w:p>
      <w:pPr>
        <w:pStyle w:val="ListBullet"/>
        <w:ind w:left="0"/>
      </w:pPr>
      <w:r>
        <w:t>Breakout from prior balance area or option expected-move boundary.</w:t>
      </w:r>
    </w:p>
    <w:p>
      <w:pPr>
        <w:pStyle w:val="Heading1"/>
      </w:pPr>
      <w:r>
        <w:t>4. Strategy Mapping and Rule Hierarchy</w:t>
      </w:r>
    </w:p>
    <w:p>
      <w:pPr>
        <w:pStyle w:val="SectionLead"/>
      </w:pPr>
      <w:r>
        <w:t>The strategy family is selected only after regime classification and kill-switch checks have been evaluated.</w:t>
      </w:r>
    </w:p>
    <w:p>
      <w:r>
        <w:t>The most important change in the revised design is that the structure chosen must fit both the directional regime and the volatility regime. The previous notion of selling iron condors when trending up and buying iron condors when trending down is replaced by a hierarchy that first asks whether neutral short gamma is appropriate at all. Only then does it select the exact structure.</w:t>
      </w:r>
    </w:p>
    <w:p>
      <w:r>
        <w:t>Rule precedence matters. Portfolio and market kill switches outrank local trade attractiveness. Global prohibitions outrank LLM confidence. Transition warnings outrank residual theta appeal. This explicit ordering should be preserved in both research and production code so that behavior remains consistent across environments.</w:t>
      </w:r>
    </w:p>
    <w:p>
      <w:pPr>
        <w:pStyle w:val="Heading2"/>
      </w:pPr>
      <w:r>
        <w:t>4.1 Strategy Selection Matrix</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1930"/>
            <w:shd w:fill="BFD3EA"/>
          </w:tcPr>
          <w:p>
            <w:r>
              <w:t>State</w:t>
            </w:r>
          </w:p>
        </w:tc>
        <w:tc>
          <w:tcPr>
            <w:tcW w:type="dxa" w:w="1930"/>
            <w:shd w:fill="BFD3EA"/>
          </w:tcPr>
          <w:p>
            <w:r>
              <w:t>Eligibility</w:t>
            </w:r>
          </w:p>
        </w:tc>
        <w:tc>
          <w:tcPr>
            <w:tcW w:type="dxa" w:w="1930"/>
            <w:shd w:fill="BFD3EA"/>
          </w:tcPr>
          <w:p>
            <w:r>
              <w:t>Preferred Structure</w:t>
            </w:r>
          </w:p>
        </w:tc>
        <w:tc>
          <w:tcPr>
            <w:tcW w:type="dxa" w:w="1930"/>
            <w:shd w:fill="BFD3EA"/>
          </w:tcPr>
          <w:p>
            <w:r>
              <w:t>Secondary Structure</w:t>
            </w:r>
          </w:p>
        </w:tc>
        <w:tc>
          <w:tcPr>
            <w:tcW w:type="dxa" w:w="1930"/>
            <w:shd w:fill="BFD3EA"/>
          </w:tcPr>
          <w:p>
            <w:r>
              <w:t>Notes</w:t>
            </w:r>
          </w:p>
        </w:tc>
      </w:tr>
      <w:tr>
        <w:tc>
          <w:tcPr>
            <w:tcW w:type="dxa" w:w="1930"/>
          </w:tcPr>
          <w:p>
            <w:r>
              <w:t>Range + Normal Vol + Contango</w:t>
            </w:r>
          </w:p>
        </w:tc>
        <w:tc>
          <w:tcPr>
            <w:tcW w:type="dxa" w:w="1930"/>
          </w:tcPr>
          <w:p>
            <w:r>
              <w:t>Yes</w:t>
            </w:r>
          </w:p>
        </w:tc>
        <w:tc>
          <w:tcPr>
            <w:tcW w:type="dxa" w:w="1930"/>
          </w:tcPr>
          <w:p>
            <w:r>
              <w:t>Symmetric Iron Condor</w:t>
            </w:r>
          </w:p>
        </w:tc>
        <w:tc>
          <w:tcPr>
            <w:tcW w:type="dxa" w:w="1930"/>
          </w:tcPr>
          <w:p>
            <w:r>
              <w:t>Slightly Skewed Condor</w:t>
            </w:r>
          </w:p>
        </w:tc>
        <w:tc>
          <w:tcPr>
            <w:tcW w:type="dxa" w:w="1930"/>
          </w:tcPr>
          <w:p>
            <w:r>
              <w:t>Primary neutral theta harvest zone</w:t>
            </w:r>
          </w:p>
        </w:tc>
      </w:tr>
      <w:tr>
        <w:tc>
          <w:tcPr>
            <w:tcW w:type="dxa" w:w="1930"/>
          </w:tcPr>
          <w:p>
            <w:r>
              <w:t>Range + High Vol + Stable</w:t>
            </w:r>
          </w:p>
        </w:tc>
        <w:tc>
          <w:tcPr>
            <w:tcW w:type="dxa" w:w="1930"/>
          </w:tcPr>
          <w:p>
            <w:r>
              <w:t>Yes, reduced size</w:t>
            </w:r>
          </w:p>
        </w:tc>
        <w:tc>
          <w:tcPr>
            <w:tcW w:type="dxa" w:w="1930"/>
          </w:tcPr>
          <w:p>
            <w:r>
              <w:t>Broken-Wing Condor</w:t>
            </w:r>
          </w:p>
        </w:tc>
        <w:tc>
          <w:tcPr>
            <w:tcW w:type="dxa" w:w="1930"/>
          </w:tcPr>
          <w:p>
            <w:r>
              <w:t>Wide Iron Condor</w:t>
            </w:r>
          </w:p>
        </w:tc>
        <w:tc>
          <w:tcPr>
            <w:tcW w:type="dxa" w:w="1930"/>
          </w:tcPr>
          <w:p>
            <w:r>
              <w:t>Use stricter exits and stress limits</w:t>
            </w:r>
          </w:p>
        </w:tc>
      </w:tr>
      <w:tr>
        <w:tc>
          <w:tcPr>
            <w:tcW w:type="dxa" w:w="1930"/>
          </w:tcPr>
          <w:p>
            <w:r>
              <w:t>Developing Uptrend</w:t>
            </w:r>
          </w:p>
        </w:tc>
        <w:tc>
          <w:tcPr>
            <w:tcW w:type="dxa" w:w="1930"/>
          </w:tcPr>
          <w:p>
            <w:r>
              <w:t>Yes</w:t>
            </w:r>
          </w:p>
        </w:tc>
        <w:tc>
          <w:tcPr>
            <w:tcW w:type="dxa" w:w="1930"/>
          </w:tcPr>
          <w:p>
            <w:r>
              <w:t>Bull Put Spread</w:t>
            </w:r>
          </w:p>
        </w:tc>
        <w:tc>
          <w:tcPr>
            <w:tcW w:type="dxa" w:w="1930"/>
          </w:tcPr>
          <w:p>
            <w:r>
              <w:t>Bullish Broken-Wing Condor</w:t>
            </w:r>
          </w:p>
        </w:tc>
        <w:tc>
          <w:tcPr>
            <w:tcW w:type="dxa" w:w="1930"/>
          </w:tcPr>
          <w:p>
            <w:r>
              <w:t>Avoid neutral condor</w:t>
            </w:r>
          </w:p>
        </w:tc>
      </w:tr>
      <w:tr>
        <w:tc>
          <w:tcPr>
            <w:tcW w:type="dxa" w:w="1930"/>
          </w:tcPr>
          <w:p>
            <w:r>
              <w:t>Developing Downtrend</w:t>
            </w:r>
          </w:p>
        </w:tc>
        <w:tc>
          <w:tcPr>
            <w:tcW w:type="dxa" w:w="1930"/>
          </w:tcPr>
          <w:p>
            <w:r>
              <w:t>Yes</w:t>
            </w:r>
          </w:p>
        </w:tc>
        <w:tc>
          <w:tcPr>
            <w:tcW w:type="dxa" w:w="1930"/>
          </w:tcPr>
          <w:p>
            <w:r>
              <w:t>Bear Call Spread</w:t>
            </w:r>
          </w:p>
        </w:tc>
        <w:tc>
          <w:tcPr>
            <w:tcW w:type="dxa" w:w="1930"/>
          </w:tcPr>
          <w:p>
            <w:r>
              <w:t>Put Debit Spread</w:t>
            </w:r>
          </w:p>
        </w:tc>
        <w:tc>
          <w:tcPr>
            <w:tcW w:type="dxa" w:w="1930"/>
          </w:tcPr>
          <w:p>
            <w:r>
              <w:t>Use debit spread when downside accelerates</w:t>
            </w:r>
          </w:p>
        </w:tc>
      </w:tr>
      <w:tr>
        <w:tc>
          <w:tcPr>
            <w:tcW w:type="dxa" w:w="1930"/>
          </w:tcPr>
          <w:p>
            <w:r>
              <w:t>Strong Uptrend</w:t>
            </w:r>
          </w:p>
        </w:tc>
        <w:tc>
          <w:tcPr>
            <w:tcW w:type="dxa" w:w="1930"/>
          </w:tcPr>
          <w:p>
            <w:r>
              <w:t>Yes, directional only</w:t>
            </w:r>
          </w:p>
        </w:tc>
        <w:tc>
          <w:tcPr>
            <w:tcW w:type="dxa" w:w="1930"/>
          </w:tcPr>
          <w:p>
            <w:r>
              <w:t>Call Debit Spread</w:t>
            </w:r>
          </w:p>
        </w:tc>
        <w:tc>
          <w:tcPr>
            <w:tcW w:type="dxa" w:w="1930"/>
          </w:tcPr>
          <w:p>
            <w:r>
              <w:t>Small Bull Put Spread</w:t>
            </w:r>
          </w:p>
        </w:tc>
        <w:tc>
          <w:tcPr>
            <w:tcW w:type="dxa" w:w="1930"/>
          </w:tcPr>
          <w:p>
            <w:r>
              <w:t>Prefer convex structure if volatility is expanding</w:t>
            </w:r>
          </w:p>
        </w:tc>
      </w:tr>
      <w:tr>
        <w:tc>
          <w:tcPr>
            <w:tcW w:type="dxa" w:w="1930"/>
          </w:tcPr>
          <w:p>
            <w:r>
              <w:t>Strong Downtrend</w:t>
            </w:r>
          </w:p>
        </w:tc>
        <w:tc>
          <w:tcPr>
            <w:tcW w:type="dxa" w:w="1930"/>
          </w:tcPr>
          <w:p>
            <w:r>
              <w:t>Yes, directional only</w:t>
            </w:r>
          </w:p>
        </w:tc>
        <w:tc>
          <w:tcPr>
            <w:tcW w:type="dxa" w:w="1930"/>
          </w:tcPr>
          <w:p>
            <w:r>
              <w:t>Put Debit Spread</w:t>
            </w:r>
          </w:p>
        </w:tc>
        <w:tc>
          <w:tcPr>
            <w:tcW w:type="dxa" w:w="1930"/>
          </w:tcPr>
          <w:p>
            <w:r>
              <w:t>Small Bear Call Spread</w:t>
            </w:r>
          </w:p>
        </w:tc>
        <w:tc>
          <w:tcPr>
            <w:tcW w:type="dxa" w:w="1930"/>
          </w:tcPr>
          <w:p>
            <w:r>
              <w:t>Prefer convex downside exposure</w:t>
            </w:r>
          </w:p>
        </w:tc>
      </w:tr>
      <w:tr>
        <w:tc>
          <w:tcPr>
            <w:tcW w:type="dxa" w:w="1930"/>
          </w:tcPr>
          <w:p>
            <w:r>
              <w:t>Extreme Vol or Backwardation Stress</w:t>
            </w:r>
          </w:p>
        </w:tc>
        <w:tc>
          <w:tcPr>
            <w:tcW w:type="dxa" w:w="1930"/>
          </w:tcPr>
          <w:p>
            <w:r>
              <w:t>Restricted</w:t>
            </w:r>
          </w:p>
        </w:tc>
        <w:tc>
          <w:tcPr>
            <w:tcW w:type="dxa" w:w="1930"/>
          </w:tcPr>
          <w:p>
            <w:r>
              <w:t>Long Vol / No Trade</w:t>
            </w:r>
          </w:p>
        </w:tc>
        <w:tc>
          <w:tcPr>
            <w:tcW w:type="dxa" w:w="1930"/>
          </w:tcPr>
          <w:p>
            <w:r>
              <w:t>Small Defined-Risk Directional Spread</w:t>
            </w:r>
          </w:p>
        </w:tc>
        <w:tc>
          <w:tcPr>
            <w:tcW w:type="dxa" w:w="1930"/>
          </w:tcPr>
          <w:p>
            <w:r>
              <w:t>Preserve capital first</w:t>
            </w:r>
          </w:p>
        </w:tc>
      </w:tr>
    </w:tbl>
    <w:p>
      <w:pPr>
        <w:pStyle w:val="Heading2"/>
      </w:pPr>
      <w:r>
        <w:t>4.2 Rule Hierarchy</w:t>
      </w:r>
    </w:p>
    <w:p>
      <w:pPr>
        <w:pStyle w:val="ListNumber"/>
      </w:pPr>
      <w:r>
        <w:t>Reject immediately if global kill switch is active: severe liquidity degradation, event-risk blackout, portfolio emergency stop, exchange/session anomaly, or unsupported market data state.</w:t>
      </w:r>
    </w:p>
    <w:p>
      <w:pPr>
        <w:pStyle w:val="ListNumber"/>
      </w:pPr>
      <w:r>
        <w:t>Classify trend regime, direction bias, volatility regime, term structure, and transition state.</w:t>
      </w:r>
    </w:p>
    <w:p>
      <w:pPr>
        <w:pStyle w:val="ListNumber"/>
      </w:pPr>
      <w:r>
        <w:t>Select eligible strategy families based on regime mapping. If no family is eligible, no trade is generated.</w:t>
      </w:r>
    </w:p>
    <w:p>
      <w:pPr>
        <w:pStyle w:val="ListNumber"/>
      </w:pPr>
      <w:r>
        <w:t>Construct candidate trades for the weekly and monthly sleeves.</w:t>
      </w:r>
    </w:p>
    <w:p>
      <w:pPr>
        <w:pStyle w:val="ListNumber"/>
      </w:pPr>
      <w:r>
        <w:t>Run GPU forward pricing, CVaR, gap stress, volatility-expansion stress, liquidity impact estimation, and per-trade risk checks.</w:t>
      </w:r>
    </w:p>
    <w:p>
      <w:pPr>
        <w:pStyle w:val="ListNumber"/>
      </w:pPr>
      <w:r>
        <w:t>Apply LLM veto and confidence weighting without allowing it to override hard rules.</w:t>
      </w:r>
    </w:p>
    <w:p>
      <w:pPr>
        <w:pStyle w:val="ListNumber"/>
      </w:pPr>
      <w:r>
        <w:t>Apply portfolio aggregation checks: net delta, gamma, vega, sleeve concentration, expiry concentration, and regime concentration.</w:t>
      </w:r>
    </w:p>
    <w:p>
      <w:pPr>
        <w:pStyle w:val="ListNumber"/>
      </w:pPr>
      <w:r>
        <w:t>Rank valid candidates and issue execution commands only for those that pass all stages.</w:t>
      </w:r>
    </w:p>
    <w:p>
      <w:pPr>
        <w:pStyle w:val="Heading1"/>
      </w:pPr>
      <w:r>
        <w:t>5. Signal and Feature Engineering</w:t>
      </w:r>
    </w:p>
    <w:p>
      <w:pPr>
        <w:pStyle w:val="SectionLead"/>
      </w:pPr>
      <w:r>
        <w:t>Signal design should favor interpretable, monitorable features over opaque composites that cannot be governed in production.</w:t>
      </w:r>
    </w:p>
    <w:p>
      <w:r>
        <w:t>The core deterministic features are ES price structure, intrinsic-time directional events, ADX, ATR, realized volatility, option-implied volatility, skew, VIX level, and VIX term structure. These inputs are sufficient to drive the decision engine if they are cleanly engineered and updated with low latency.</w:t>
      </w:r>
    </w:p>
    <w:p>
      <w:r>
        <w:t>Feature calculations must be versioned and reproducible. In an institutional setting, a strategy revision is not merely a code change; it is a model version change. The event stream should therefore include enough metadata to reconstruct the exact feature set that led to each trade decision.</w:t>
      </w:r>
    </w:p>
    <w:p>
      <w:pPr>
        <w:pStyle w:val="Heading2"/>
      </w:pPr>
      <w:r>
        <w:t>5.1 LLM Secondary Filter Governance</w:t>
      </w:r>
    </w:p>
    <w:p>
      <w:r>
        <w:t>The LLM layer may be useful when asked to classify whether deterministic evidence is internally consistent or whether a regime transition appears under-confirmed. It should not be allowed to create trade ideas independently. In practice, the LLM should emit one of three outcomes: pass, caution, or veto. A pass leaves the trade unchanged, caution reduces confidence score or size, and veto blocks the trade.</w:t>
      </w:r>
    </w:p>
    <w:p>
      <w:r>
        <w:t>The LLM prompt and output schema must be fixed, versioned, and fully logged. Any unstructured natural-language output that cannot be deterministically parsed should be treated as a system error and should not influence trading decisions.</w:t>
      </w:r>
    </w:p>
    <w:p>
      <w:pPr>
        <w:pStyle w:val="Heading1"/>
      </w:pPr>
      <w:r>
        <w:t>6. Trade Construction and Strike Selection</w:t>
      </w:r>
    </w:p>
    <w:p>
      <w:pPr>
        <w:pStyle w:val="SectionLead"/>
      </w:pPr>
      <w:r>
        <w:t>Trade construction must translate market state into concrete strikes, widths, quantities, and execution constraints.</w:t>
      </w:r>
    </w:p>
    <w:p>
      <w:r>
        <w:t>For condors, short strikes should be anchored to a defensible probability or delta framework rather than a purely aesthetic equal-distance placement. Wing widths should then be adjusted using ATR, expected move, VIX regime, and simulated loss distribution. In high-volatility but still tradeable environments, wider wings and smaller size are usually more robust than attempting to preserve the original premium target through tight, fragile strikes.</w:t>
      </w:r>
    </w:p>
    <w:p>
      <w:r>
        <w:t>For directional spreads, the main choice is between premium-selling credit structures and convex debit structures. Credit spreads are appropriate when trend is developing but not explosively accelerating and when implied volatility is not severely distorted. Debit spreads are preferred when trend strength is high, volatility is elevated, or the strategy explicitly seeks convexity.</w:t>
      </w:r>
    </w:p>
    <w:p>
      <w:pPr>
        <w:pStyle w:val="Heading2"/>
      </w:pPr>
      <w:r>
        <w:t>6.1 Construction Rules</w:t>
      </w:r>
    </w:p>
    <w:p>
      <w:pPr>
        <w:pStyle w:val="ListBullet"/>
        <w:ind w:left="0"/>
      </w:pPr>
      <w:r>
        <w:t>Use liquidity-aware strike filters based on bid-ask width, open interest, and quote freshness.</w:t>
      </w:r>
    </w:p>
    <w:p>
      <w:pPr>
        <w:pStyle w:val="ListBullet"/>
        <w:ind w:left="0"/>
      </w:pPr>
      <w:r>
        <w:t>Use skew-aware asymmetry rather than defaulting to symmetric structures when one side of the market is structurally more expensive.</w:t>
      </w:r>
    </w:p>
    <w:p>
      <w:pPr>
        <w:pStyle w:val="ListBullet"/>
        <w:ind w:left="0"/>
      </w:pPr>
      <w:r>
        <w:t>Reject candidates whose max loss, gap stress, or slippage estimate is outside permitted tolerance even if credit collected appears attractive.</w:t>
      </w:r>
    </w:p>
    <w:p>
      <w:pPr>
        <w:pStyle w:val="ListBullet"/>
        <w:ind w:left="0"/>
      </w:pPr>
      <w:r>
        <w:t>Build weekly and monthly candidates independently so each sleeve can have its own optimal structure and risk budget.</w:t>
      </w:r>
    </w:p>
    <w:p>
      <w:pPr>
        <w:pStyle w:val="Heading1"/>
      </w:pPr>
      <w:r>
        <w:t>7. Risk Management Framework</w:t>
      </w:r>
    </w:p>
    <w:p>
      <w:pPr>
        <w:pStyle w:val="SectionLead"/>
      </w:pPr>
      <w:r>
        <w:t>The revised strategy is deliberately risk-first. The system's most important job is often to reject a superficially attractive trade.</w:t>
      </w:r>
    </w:p>
    <w:p>
      <w:r>
        <w:t>Per-trade controls must be explicit, tested, and applied before order entry. At minimum, every trade should expose defined maximum loss, expected value, probability of loss, CVaR or expected shortfall, gap-stress loss, volatility-expansion loss, and estimated execution impact. A trade is eligible only if all required constraints are met.</w:t>
      </w:r>
    </w:p>
    <w:p>
      <w:r>
        <w:t>Portfolio controls are equally important because many otherwise acceptable positions become dangerous in aggregate. A book of individually modest short-volatility positions can still become a concentrated short-vega and short-gamma exposure during a volatility event. The portfolio risk actor therefore must treat aggregate Greeks and regime concentration as hard constraints rather than informational metrics.</w:t>
      </w:r>
    </w:p>
    <w:p>
      <w:pPr>
        <w:pStyle w:val="Heading2"/>
      </w:pPr>
      <w:r>
        <w:t>7.1 Per-Trade Controls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BFD3EA"/>
          </w:tcPr>
          <w:p>
            <w:r>
              <w:t>Control</w:t>
            </w:r>
          </w:p>
        </w:tc>
        <w:tc>
          <w:tcPr>
            <w:tcW w:type="dxa" w:w="2412"/>
            <w:shd w:fill="BFD3EA"/>
          </w:tcPr>
          <w:p>
            <w:r>
              <w:t>Purpose</w:t>
            </w:r>
          </w:p>
        </w:tc>
        <w:tc>
          <w:tcPr>
            <w:tcW w:type="dxa" w:w="2412"/>
            <w:shd w:fill="BFD3EA"/>
          </w:tcPr>
          <w:p>
            <w:r>
              <w:t>Typical Gate</w:t>
            </w:r>
          </w:p>
        </w:tc>
        <w:tc>
          <w:tcPr>
            <w:tcW w:type="dxa" w:w="2412"/>
            <w:shd w:fill="BFD3EA"/>
          </w:tcPr>
          <w:p>
            <w:r>
              <w:t>Governance Note</w:t>
            </w:r>
          </w:p>
        </w:tc>
      </w:tr>
      <w:tr>
        <w:tc>
          <w:tcPr>
            <w:tcW w:type="dxa" w:w="2412"/>
          </w:tcPr>
          <w:p>
            <w:r>
              <w:t>Maximum Defined Loss</w:t>
            </w:r>
          </w:p>
        </w:tc>
        <w:tc>
          <w:tcPr>
            <w:tcW w:type="dxa" w:w="2412"/>
          </w:tcPr>
          <w:p>
            <w:r>
              <w:t>Limits absolute downside of structure</w:t>
            </w:r>
          </w:p>
        </w:tc>
        <w:tc>
          <w:tcPr>
            <w:tcW w:type="dxa" w:w="2412"/>
          </w:tcPr>
          <w:p>
            <w:r>
              <w:t>Must be below configured capital-at-risk budget</w:t>
            </w:r>
          </w:p>
        </w:tc>
        <w:tc>
          <w:tcPr>
            <w:tcW w:type="dxa" w:w="2412"/>
          </w:tcPr>
          <w:p>
            <w:r>
              <w:t>Budget set by account and sleeve</w:t>
            </w:r>
          </w:p>
        </w:tc>
      </w:tr>
      <w:tr>
        <w:tc>
          <w:tcPr>
            <w:tcW w:type="dxa" w:w="2412"/>
          </w:tcPr>
          <w:p>
            <w:r>
              <w:t>Probability of Loss</w:t>
            </w:r>
          </w:p>
        </w:tc>
        <w:tc>
          <w:tcPr>
            <w:tcW w:type="dxa" w:w="2412"/>
          </w:tcPr>
          <w:p>
            <w:r>
              <w:t>Filters low-quality setups despite attractive theta</w:t>
            </w:r>
          </w:p>
        </w:tc>
        <w:tc>
          <w:tcPr>
            <w:tcW w:type="dxa" w:w="2412"/>
          </w:tcPr>
          <w:p>
            <w:r>
              <w:t>Reject if above threshold</w:t>
            </w:r>
          </w:p>
        </w:tc>
        <w:tc>
          <w:tcPr>
            <w:tcW w:type="dxa" w:w="2412"/>
          </w:tcPr>
          <w:p>
            <w:r>
              <w:t>Threshold may vary by regime</w:t>
            </w:r>
          </w:p>
        </w:tc>
      </w:tr>
      <w:tr>
        <w:tc>
          <w:tcPr>
            <w:tcW w:type="dxa" w:w="2412"/>
          </w:tcPr>
          <w:p>
            <w:r>
              <w:t>CVaR / Expected Shortfall</w:t>
            </w:r>
          </w:p>
        </w:tc>
        <w:tc>
          <w:tcPr>
            <w:tcW w:type="dxa" w:w="2412"/>
          </w:tcPr>
          <w:p>
            <w:r>
              <w:t>Captures tail behavior beyond simple max loss</w:t>
            </w:r>
          </w:p>
        </w:tc>
        <w:tc>
          <w:tcPr>
            <w:tcW w:type="dxa" w:w="2412"/>
          </w:tcPr>
          <w:p>
            <w:r>
              <w:t>Reject if above threshold</w:t>
            </w:r>
          </w:p>
        </w:tc>
        <w:tc>
          <w:tcPr>
            <w:tcW w:type="dxa" w:w="2412"/>
          </w:tcPr>
          <w:p>
            <w:r>
              <w:t>Core output of GPU pricer</w:t>
            </w:r>
          </w:p>
        </w:tc>
      </w:tr>
      <w:tr>
        <w:tc>
          <w:tcPr>
            <w:tcW w:type="dxa" w:w="2412"/>
          </w:tcPr>
          <w:p>
            <w:r>
              <w:t>Gap Stress Loss</w:t>
            </w:r>
          </w:p>
        </w:tc>
        <w:tc>
          <w:tcPr>
            <w:tcW w:type="dxa" w:w="2412"/>
          </w:tcPr>
          <w:p>
            <w:r>
              <w:t>Models overnight or event gap risk</w:t>
            </w:r>
          </w:p>
        </w:tc>
        <w:tc>
          <w:tcPr>
            <w:tcW w:type="dxa" w:w="2412"/>
          </w:tcPr>
          <w:p>
            <w:r>
              <w:t>Reject if above threshold</w:t>
            </w:r>
          </w:p>
        </w:tc>
        <w:tc>
          <w:tcPr>
            <w:tcW w:type="dxa" w:w="2412"/>
          </w:tcPr>
          <w:p>
            <w:r>
              <w:t>Important for short premium</w:t>
            </w:r>
          </w:p>
        </w:tc>
      </w:tr>
      <w:tr>
        <w:tc>
          <w:tcPr>
            <w:tcW w:type="dxa" w:w="2412"/>
          </w:tcPr>
          <w:p>
            <w:r>
              <w:t>Volatility-Expansion Loss</w:t>
            </w:r>
          </w:p>
        </w:tc>
        <w:tc>
          <w:tcPr>
            <w:tcW w:type="dxa" w:w="2412"/>
          </w:tcPr>
          <w:p>
            <w:r>
              <w:t>Models repricing risk under vol spike</w:t>
            </w:r>
          </w:p>
        </w:tc>
        <w:tc>
          <w:tcPr>
            <w:tcW w:type="dxa" w:w="2412"/>
          </w:tcPr>
          <w:p>
            <w:r>
              <w:t>Reject if above threshold</w:t>
            </w:r>
          </w:p>
        </w:tc>
        <w:tc>
          <w:tcPr>
            <w:tcW w:type="dxa" w:w="2412"/>
          </w:tcPr>
          <w:p>
            <w:r>
              <w:t>Critical around regime shifts</w:t>
            </w:r>
          </w:p>
        </w:tc>
      </w:tr>
      <w:tr>
        <w:tc>
          <w:tcPr>
            <w:tcW w:type="dxa" w:w="2412"/>
          </w:tcPr>
          <w:p>
            <w:r>
              <w:t>Liquidity Impact Estimate</w:t>
            </w:r>
          </w:p>
        </w:tc>
        <w:tc>
          <w:tcPr>
            <w:tcW w:type="dxa" w:w="2412"/>
          </w:tcPr>
          <w:p>
            <w:r>
              <w:t>Models practical execution cost</w:t>
            </w:r>
          </w:p>
        </w:tc>
        <w:tc>
          <w:tcPr>
            <w:tcW w:type="dxa" w:w="2412"/>
          </w:tcPr>
          <w:p>
            <w:r>
              <w:t>Reject if slippage exceeds tolerance</w:t>
            </w:r>
          </w:p>
        </w:tc>
        <w:tc>
          <w:tcPr>
            <w:tcW w:type="dxa" w:w="2412"/>
          </w:tcPr>
          <w:p>
            <w:r>
              <w:t>Depends on spread width and size</w:t>
            </w:r>
          </w:p>
        </w:tc>
      </w:tr>
    </w:tbl>
    <w:p>
      <w:pPr>
        <w:pStyle w:val="Heading2"/>
      </w:pPr>
      <w:r>
        <w:t>7.2 Portfolio Controls</w:t>
      </w:r>
    </w:p>
    <w:p>
      <w:pPr>
        <w:pStyle w:val="ListBullet"/>
        <w:ind w:left="0"/>
      </w:pPr>
      <w:r>
        <w:t>Maximum net delta exposure.</w:t>
      </w:r>
    </w:p>
    <w:p>
      <w:pPr>
        <w:pStyle w:val="ListBullet"/>
        <w:ind w:left="0"/>
      </w:pPr>
      <w:r>
        <w:t>Maximum short gamma exposure, with tighter limits for near-dated short premium.</w:t>
      </w:r>
    </w:p>
    <w:p>
      <w:pPr>
        <w:pStyle w:val="ListBullet"/>
        <w:ind w:left="0"/>
      </w:pPr>
      <w:r>
        <w:t>Maximum short vega exposure and volatility-regime-specific reductions.</w:t>
      </w:r>
    </w:p>
    <w:p>
      <w:pPr>
        <w:pStyle w:val="ListBullet"/>
        <w:ind w:left="0"/>
      </w:pPr>
      <w:r>
        <w:t>Maximum concentration by expiry bucket, sleeve, and strategy family.</w:t>
      </w:r>
    </w:p>
    <w:p>
      <w:pPr>
        <w:pStyle w:val="ListBullet"/>
        <w:ind w:left="0"/>
      </w:pPr>
      <w:r>
        <w:t>Maximum open risk under the same regime hypothesis.</w:t>
      </w:r>
    </w:p>
    <w:p>
      <w:pPr>
        <w:pStyle w:val="ListBullet"/>
        <w:ind w:left="0"/>
      </w:pPr>
      <w:r>
        <w:t>Emergency kill switch if live stress estimates breach portfolio thresholds.</w:t>
      </w:r>
    </w:p>
    <w:p>
      <w:pPr>
        <w:pStyle w:val="Heading2"/>
      </w:pPr>
      <w:r>
        <w:t>7.3 Dynamic Exits</w:t>
      </w:r>
    </w:p>
    <w:p>
      <w:r>
        <w:t>Time stops are necessary but insufficient. Weekly positions must normally exit by day 10 held, and monthly positions must normally exit by day 30 held. However, those outer limits are superseded by dynamic exits triggered by transition-state deterioration, live CVaR breach, term-structure reversal, intrinsic-time directional acceleration against the trade, or drift in aggregate Greeks beyond allowed bands.</w:t>
      </w:r>
    </w:p>
    <w:p>
      <w:r>
        <w:t>In a production environment, exit logic should be owned by the position-monitor actor, not by the signal actor that generated the original idea. This separation makes it easier to reason about accountability and to apply consistent live-risk governance.</w:t>
      </w:r>
    </w:p>
    <w:p>
      <w:pPr>
        <w:pStyle w:val="Heading1"/>
      </w:pPr>
      <w:r>
        <w:t>8. Execution and Order Governance</w:t>
      </w:r>
    </w:p>
    <w:p>
      <w:pPr>
        <w:pStyle w:val="SectionLead"/>
      </w:pPr>
      <w:r>
        <w:t>A robust strategy can be degraded materially by poor execution. Execution is therefore designed as a controlled workflow, not a final one-line side effect.</w:t>
      </w:r>
    </w:p>
    <w:p>
      <w:r>
        <w:t>The execution layer should issue limit orders only, with optional laddering for multi-leg structures that are wide or difficult to fill. Before a command is sent, the execution actor should revalidate quote freshness, spread width, and expected fill quality. If the market no longer satisfies pre-trade conditions, the command should be cancelled or revised rather than sent blindly.</w:t>
      </w:r>
    </w:p>
    <w:p>
      <w:r>
        <w:t>Execution acknowledgements, partial fills, cancellations, and rejections should be published as events on dedicated NATS subjects. These events are essential for replay, operational visibility, and state consistency inside the actor system.</w:t>
      </w:r>
    </w:p>
    <w:p>
      <w:pPr>
        <w:pStyle w:val="Heading2"/>
      </w:pPr>
      <w:r>
        <w:t>8.1 Execution Rules</w:t>
      </w:r>
    </w:p>
    <w:p>
      <w:pPr>
        <w:pStyle w:val="ListBullet"/>
        <w:ind w:left="0"/>
      </w:pPr>
      <w:r>
        <w:t>Use deterministic order construction from candidate trade state; no manual hidden logic.</w:t>
      </w:r>
    </w:p>
    <w:p>
      <w:pPr>
        <w:pStyle w:val="ListBullet"/>
        <w:ind w:left="0"/>
      </w:pPr>
      <w:r>
        <w:t>Reprice candidate immediately before order submission.</w:t>
      </w:r>
    </w:p>
    <w:p>
      <w:pPr>
        <w:pStyle w:val="ListBullet"/>
        <w:ind w:left="0"/>
      </w:pPr>
      <w:r>
        <w:t>Avoid opening during defined blackout windows around major scheduled events unless explicitly enabled.</w:t>
      </w:r>
    </w:p>
    <w:p>
      <w:pPr>
        <w:pStyle w:val="ListBullet"/>
        <w:ind w:left="0"/>
      </w:pPr>
      <w:r>
        <w:t>Cancel if achievable price deteriorates beyond tolerance.</w:t>
      </w:r>
    </w:p>
    <w:p>
      <w:pPr>
        <w:pStyle w:val="ListBullet"/>
        <w:ind w:left="0"/>
      </w:pPr>
      <w:r>
        <w:t>Treat partial fills as first-class operational states and route them through reconciliation logic.</w:t>
      </w:r>
    </w:p>
    <w:p>
      <w:pPr>
        <w:pStyle w:val="Heading1"/>
      </w:pPr>
      <w:r>
        <w:t>9. Event-Modeled Production Architecture</w:t>
      </w:r>
    </w:p>
    <w:p>
      <w:pPr>
        <w:pStyle w:val="SectionLead"/>
      </w:pPr>
      <w:r>
        <w:t>The software implementation uses command, query, and event messages over NATS, with actors responsible for localized state and behavior.</w:t>
      </w:r>
    </w:p>
    <w:p>
      <w:r>
        <w:t>Event modeling provides an operational language for the system. Commands express intent to perform an action, queries request current state or computed views, and events are immutable records that describe what actually occurred. The trading system should not hide business decisions behind direct method calls when the same decisions have lifecycle significance. If a risk approval, strategy selection, order submission, or fill matters operationally, it should appear as an event in the stream.</w:t>
      </w:r>
    </w:p>
    <w:p>
      <w:r>
        <w:t>NATS is used as the messaging backbone because it supports low-latency pub/sub, request-reply patterns for queries, and flexible subject-based routing. Subjects should be explicit and versioned so that services can evolve without ambiguous contracts.</w:t>
      </w:r>
    </w:p>
    <w:p>
      <w:pPr>
        <w:pStyle w:val="Heading2"/>
      </w:pPr>
      <w:r>
        <w:t>9.1 Core Actors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BFD3EA"/>
          </w:tcPr>
          <w:p>
            <w:r>
              <w:t>Actor</w:t>
            </w:r>
          </w:p>
        </w:tc>
        <w:tc>
          <w:tcPr>
            <w:tcW w:type="dxa" w:w="2412"/>
            <w:shd w:fill="BFD3EA"/>
          </w:tcPr>
          <w:p>
            <w:r>
              <w:t>Primary Responsibility</w:t>
            </w:r>
          </w:p>
        </w:tc>
        <w:tc>
          <w:tcPr>
            <w:tcW w:type="dxa" w:w="2412"/>
            <w:shd w:fill="BFD3EA"/>
          </w:tcPr>
          <w:p>
            <w:r>
              <w:t>Consumes</w:t>
            </w:r>
          </w:p>
        </w:tc>
        <w:tc>
          <w:tcPr>
            <w:tcW w:type="dxa" w:w="2412"/>
            <w:shd w:fill="BFD3EA"/>
          </w:tcPr>
          <w:p>
            <w:r>
              <w:t>Publishes</w:t>
            </w:r>
          </w:p>
        </w:tc>
      </w:tr>
      <w:tr>
        <w:tc>
          <w:tcPr>
            <w:tcW w:type="dxa" w:w="2412"/>
          </w:tcPr>
          <w:p>
            <w:r>
              <w:t>Market State Actor</w:t>
            </w:r>
          </w:p>
        </w:tc>
        <w:tc>
          <w:tcPr>
            <w:tcW w:type="dxa" w:w="2412"/>
          </w:tcPr>
          <w:p>
            <w:r>
              <w:t>Aggregates market data and computes feature snapshots</w:t>
            </w:r>
          </w:p>
        </w:tc>
        <w:tc>
          <w:tcPr>
            <w:tcW w:type="dxa" w:w="2412"/>
          </w:tcPr>
          <w:p>
            <w:r>
              <w:t>Raw market events, reference data updates</w:t>
            </w:r>
          </w:p>
        </w:tc>
        <w:tc>
          <w:tcPr>
            <w:tcW w:type="dxa" w:w="2412"/>
          </w:tcPr>
          <w:p>
            <w:r>
              <w:t>MarketStateUpdated events</w:t>
            </w:r>
          </w:p>
        </w:tc>
      </w:tr>
      <w:tr>
        <w:tc>
          <w:tcPr>
            <w:tcW w:type="dxa" w:w="2412"/>
          </w:tcPr>
          <w:p>
            <w:r>
              <w:t>Regime Actor</w:t>
            </w:r>
          </w:p>
        </w:tc>
        <w:tc>
          <w:tcPr>
            <w:tcW w:type="dxa" w:w="2412"/>
          </w:tcPr>
          <w:p>
            <w:r>
              <w:t>Classifies trend, vol, term structure, transitions</w:t>
            </w:r>
          </w:p>
        </w:tc>
        <w:tc>
          <w:tcPr>
            <w:tcW w:type="dxa" w:w="2412"/>
          </w:tcPr>
          <w:p>
            <w:r>
              <w:t>MarketStateUpdated events</w:t>
            </w:r>
          </w:p>
        </w:tc>
        <w:tc>
          <w:tcPr>
            <w:tcW w:type="dxa" w:w="2412"/>
          </w:tcPr>
          <w:p>
            <w:r>
              <w:t>RegimeStateCalculated events</w:t>
            </w:r>
          </w:p>
        </w:tc>
      </w:tr>
      <w:tr>
        <w:tc>
          <w:tcPr>
            <w:tcW w:type="dxa" w:w="2412"/>
          </w:tcPr>
          <w:p>
            <w:r>
              <w:t>Candidate Generation Actor</w:t>
            </w:r>
          </w:p>
        </w:tc>
        <w:tc>
          <w:tcPr>
            <w:tcW w:type="dxa" w:w="2412"/>
          </w:tcPr>
          <w:p>
            <w:r>
              <w:t>Builds weekly/monthly candidate structures</w:t>
            </w:r>
          </w:p>
        </w:tc>
        <w:tc>
          <w:tcPr>
            <w:tcW w:type="dxa" w:w="2412"/>
          </w:tcPr>
          <w:p>
            <w:r>
              <w:t>RegimeStateCalculated events, chain snapshots</w:t>
            </w:r>
          </w:p>
        </w:tc>
        <w:tc>
          <w:tcPr>
            <w:tcW w:type="dxa" w:w="2412"/>
          </w:tcPr>
          <w:p>
            <w:r>
              <w:t>TradeCandidatesGenerated events</w:t>
            </w:r>
          </w:p>
        </w:tc>
      </w:tr>
      <w:tr>
        <w:tc>
          <w:tcPr>
            <w:tcW w:type="dxa" w:w="2412"/>
          </w:tcPr>
          <w:p>
            <w:r>
              <w:t>GPU Pricing Actor</w:t>
            </w:r>
          </w:p>
        </w:tc>
        <w:tc>
          <w:tcPr>
            <w:tcW w:type="dxa" w:w="2412"/>
          </w:tcPr>
          <w:p>
            <w:r>
              <w:t>Prices structures, loss distributions, and stress scenarios</w:t>
            </w:r>
          </w:p>
        </w:tc>
        <w:tc>
          <w:tcPr>
            <w:tcW w:type="dxa" w:w="2412"/>
          </w:tcPr>
          <w:p>
            <w:r>
              <w:t>PriceTradeCandidates commands</w:t>
            </w:r>
          </w:p>
        </w:tc>
        <w:tc>
          <w:tcPr>
            <w:tcW w:type="dxa" w:w="2412"/>
          </w:tcPr>
          <w:p>
            <w:r>
              <w:t>TradeCandidatesPriced events</w:t>
            </w:r>
          </w:p>
        </w:tc>
      </w:tr>
      <w:tr>
        <w:tc>
          <w:tcPr>
            <w:tcW w:type="dxa" w:w="2412"/>
          </w:tcPr>
          <w:p>
            <w:r>
              <w:t>Portfolio Risk Actor</w:t>
            </w:r>
          </w:p>
        </w:tc>
        <w:tc>
          <w:tcPr>
            <w:tcW w:type="dxa" w:w="2412"/>
          </w:tcPr>
          <w:p>
            <w:r>
              <w:t>Applies aggregate constraints and kill switches</w:t>
            </w:r>
          </w:p>
        </w:tc>
        <w:tc>
          <w:tcPr>
            <w:tcW w:type="dxa" w:w="2412"/>
          </w:tcPr>
          <w:p>
            <w:r>
              <w:t>Priced candidates, live positions, fills</w:t>
            </w:r>
          </w:p>
        </w:tc>
        <w:tc>
          <w:tcPr>
            <w:tcW w:type="dxa" w:w="2412"/>
          </w:tcPr>
          <w:p>
            <w:r>
              <w:t>PortfolioRiskApproved or Rejected events</w:t>
            </w:r>
          </w:p>
        </w:tc>
      </w:tr>
      <w:tr>
        <w:tc>
          <w:tcPr>
            <w:tcW w:type="dxa" w:w="2412"/>
          </w:tcPr>
          <w:p>
            <w:r>
              <w:t>LLM Review Actor</w:t>
            </w:r>
          </w:p>
        </w:tc>
        <w:tc>
          <w:tcPr>
            <w:tcW w:type="dxa" w:w="2412"/>
          </w:tcPr>
          <w:p>
            <w:r>
              <w:t>Emits pass/caution/veto classification</w:t>
            </w:r>
          </w:p>
        </w:tc>
        <w:tc>
          <w:tcPr>
            <w:tcW w:type="dxa" w:w="2412"/>
          </w:tcPr>
          <w:p>
            <w:r>
              <w:t>ReviewTradeCandidate commands</w:t>
            </w:r>
          </w:p>
        </w:tc>
        <w:tc>
          <w:tcPr>
            <w:tcW w:type="dxa" w:w="2412"/>
          </w:tcPr>
          <w:p>
            <w:r>
              <w:t>TradeCandidateReviewed events</w:t>
            </w:r>
          </w:p>
        </w:tc>
      </w:tr>
      <w:tr>
        <w:tc>
          <w:tcPr>
            <w:tcW w:type="dxa" w:w="2412"/>
          </w:tcPr>
          <w:p>
            <w:r>
              <w:t>Execution Actor</w:t>
            </w:r>
          </w:p>
        </w:tc>
        <w:tc>
          <w:tcPr>
            <w:tcW w:type="dxa" w:w="2412"/>
          </w:tcPr>
          <w:p>
            <w:r>
              <w:t>Translates approved candidates into orders and monitors acknowledgements</w:t>
            </w:r>
          </w:p>
        </w:tc>
        <w:tc>
          <w:tcPr>
            <w:tcW w:type="dxa" w:w="2412"/>
          </w:tcPr>
          <w:p>
            <w:r>
              <w:t>SubmitOrder commands</w:t>
            </w:r>
          </w:p>
        </w:tc>
        <w:tc>
          <w:tcPr>
            <w:tcW w:type="dxa" w:w="2412"/>
          </w:tcPr>
          <w:p>
            <w:r>
              <w:t>OrderSubmitted, FillReceived, OrderRejected events</w:t>
            </w:r>
          </w:p>
        </w:tc>
      </w:tr>
      <w:tr>
        <w:tc>
          <w:tcPr>
            <w:tcW w:type="dxa" w:w="2412"/>
          </w:tcPr>
          <w:p>
            <w:r>
              <w:t>Position Monitor Actor</w:t>
            </w:r>
          </w:p>
        </w:tc>
        <w:tc>
          <w:tcPr>
            <w:tcW w:type="dxa" w:w="2412"/>
          </w:tcPr>
          <w:p>
            <w:r>
              <w:t>Monitors open positions for dynamic exits</w:t>
            </w:r>
          </w:p>
        </w:tc>
        <w:tc>
          <w:tcPr>
            <w:tcW w:type="dxa" w:w="2412"/>
          </w:tcPr>
          <w:p>
            <w:r>
              <w:t>Position state, market state, stress events</w:t>
            </w:r>
          </w:p>
        </w:tc>
        <w:tc>
          <w:tcPr>
            <w:tcW w:type="dxa" w:w="2412"/>
          </w:tcPr>
          <w:p>
            <w:r>
              <w:t>ExitRecommended or ClosePosition commands</w:t>
            </w:r>
          </w:p>
        </w:tc>
      </w:tr>
    </w:tbl>
    <w:p>
      <w:pPr>
        <w:pStyle w:val="Heading2"/>
      </w:pPr>
      <w:r>
        <w:t>9.2 Command, Query, and Event Taxonomy</w:t>
      </w:r>
    </w:p>
    <w:p>
      <w:pPr>
        <w:pStyle w:val="Heading2"/>
      </w:pPr>
      <w:r>
        <w:t>Commands</w:t>
      </w:r>
    </w:p>
    <w:p>
      <w:pPr>
        <w:pStyle w:val="ListBullet"/>
        <w:ind w:left="0"/>
      </w:pPr>
      <w:r>
        <w:t>CalculateRegimeForMarketState</w:t>
      </w:r>
    </w:p>
    <w:p>
      <w:pPr>
        <w:pStyle w:val="ListBullet"/>
        <w:ind w:left="0"/>
      </w:pPr>
      <w:r>
        <w:t>GenerateTradeCandidates</w:t>
      </w:r>
    </w:p>
    <w:p>
      <w:pPr>
        <w:pStyle w:val="ListBullet"/>
        <w:ind w:left="0"/>
      </w:pPr>
      <w:r>
        <w:t>PriceTradeCandidates</w:t>
      </w:r>
    </w:p>
    <w:p>
      <w:pPr>
        <w:pStyle w:val="ListBullet"/>
        <w:ind w:left="0"/>
      </w:pPr>
      <w:r>
        <w:t>ReviewTradeCandidate</w:t>
      </w:r>
    </w:p>
    <w:p>
      <w:pPr>
        <w:pStyle w:val="ListBullet"/>
        <w:ind w:left="0"/>
      </w:pPr>
      <w:r>
        <w:t>ApproveTradeCandidate</w:t>
      </w:r>
    </w:p>
    <w:p>
      <w:pPr>
        <w:pStyle w:val="ListBullet"/>
        <w:ind w:left="0"/>
      </w:pPr>
      <w:r>
        <w:t>SubmitOrder</w:t>
      </w:r>
    </w:p>
    <w:p>
      <w:pPr>
        <w:pStyle w:val="ListBullet"/>
        <w:ind w:left="0"/>
      </w:pPr>
      <w:r>
        <w:t>ClosePosition</w:t>
      </w:r>
    </w:p>
    <w:p>
      <w:pPr>
        <w:pStyle w:val="ListBullet"/>
        <w:ind w:left="0"/>
      </w:pPr>
      <w:r>
        <w:t>ReconcileExecutionState</w:t>
      </w:r>
    </w:p>
    <w:p>
      <w:pPr>
        <w:pStyle w:val="Heading2"/>
      </w:pPr>
      <w:r>
        <w:t>Queries</w:t>
      </w:r>
    </w:p>
    <w:p>
      <w:pPr>
        <w:pStyle w:val="ListBullet"/>
        <w:ind w:left="0"/>
      </w:pPr>
      <w:r>
        <w:t>GetLatestMarketState</w:t>
      </w:r>
    </w:p>
    <w:p>
      <w:pPr>
        <w:pStyle w:val="ListBullet"/>
        <w:ind w:left="0"/>
      </w:pPr>
      <w:r>
        <w:t>GetLatestRegimeState</w:t>
      </w:r>
    </w:p>
    <w:p>
      <w:pPr>
        <w:pStyle w:val="ListBullet"/>
        <w:ind w:left="0"/>
      </w:pPr>
      <w:r>
        <w:t>GetOpenPositions</w:t>
      </w:r>
    </w:p>
    <w:p>
      <w:pPr>
        <w:pStyle w:val="ListBullet"/>
        <w:ind w:left="0"/>
      </w:pPr>
      <w:r>
        <w:t>GetPortfolioRiskView</w:t>
      </w:r>
    </w:p>
    <w:p>
      <w:pPr>
        <w:pStyle w:val="ListBullet"/>
        <w:ind w:left="0"/>
      </w:pPr>
      <w:r>
        <w:t>GetTradeCandidateById</w:t>
      </w:r>
    </w:p>
    <w:p>
      <w:pPr>
        <w:pStyle w:val="ListBullet"/>
        <w:ind w:left="0"/>
      </w:pPr>
      <w:r>
        <w:t>GetReplayWindow</w:t>
      </w:r>
    </w:p>
    <w:p>
      <w:pPr>
        <w:pStyle w:val="Heading2"/>
      </w:pPr>
      <w:r>
        <w:t>Events</w:t>
      </w:r>
    </w:p>
    <w:p>
      <w:pPr>
        <w:pStyle w:val="ListBullet"/>
        <w:ind w:left="0"/>
      </w:pPr>
      <w:r>
        <w:t>MarketStateUpdated</w:t>
      </w:r>
    </w:p>
    <w:p>
      <w:pPr>
        <w:pStyle w:val="ListBullet"/>
        <w:ind w:left="0"/>
      </w:pPr>
      <w:r>
        <w:t>RegimeStateCalculated</w:t>
      </w:r>
    </w:p>
    <w:p>
      <w:pPr>
        <w:pStyle w:val="ListBullet"/>
        <w:ind w:left="0"/>
      </w:pPr>
      <w:r>
        <w:t>TradeCandidatesGenerated</w:t>
      </w:r>
    </w:p>
    <w:p>
      <w:pPr>
        <w:pStyle w:val="ListBullet"/>
        <w:ind w:left="0"/>
      </w:pPr>
      <w:r>
        <w:t>TradeCandidatesPriced</w:t>
      </w:r>
    </w:p>
    <w:p>
      <w:pPr>
        <w:pStyle w:val="ListBullet"/>
        <w:ind w:left="0"/>
      </w:pPr>
      <w:r>
        <w:t>TradeCandidateReviewed</w:t>
      </w:r>
    </w:p>
    <w:p>
      <w:pPr>
        <w:pStyle w:val="ListBullet"/>
        <w:ind w:left="0"/>
      </w:pPr>
      <w:r>
        <w:t>TradeCandidateApproved</w:t>
      </w:r>
    </w:p>
    <w:p>
      <w:pPr>
        <w:pStyle w:val="ListBullet"/>
        <w:ind w:left="0"/>
      </w:pPr>
      <w:r>
        <w:t>TradeCandidateRejected</w:t>
      </w:r>
    </w:p>
    <w:p>
      <w:pPr>
        <w:pStyle w:val="ListBullet"/>
        <w:ind w:left="0"/>
      </w:pPr>
      <w:r>
        <w:t>OrderSubmitted</w:t>
      </w:r>
    </w:p>
    <w:p>
      <w:pPr>
        <w:pStyle w:val="ListBullet"/>
        <w:ind w:left="0"/>
      </w:pPr>
      <w:r>
        <w:t>OrderPartiallyFilled</w:t>
      </w:r>
    </w:p>
    <w:p>
      <w:pPr>
        <w:pStyle w:val="ListBullet"/>
        <w:ind w:left="0"/>
      </w:pPr>
      <w:r>
        <w:t>OrderFilled</w:t>
      </w:r>
    </w:p>
    <w:p>
      <w:pPr>
        <w:pStyle w:val="ListBullet"/>
        <w:ind w:left="0"/>
      </w:pPr>
      <w:r>
        <w:t>PositionOpened</w:t>
      </w:r>
    </w:p>
    <w:p>
      <w:pPr>
        <w:pStyle w:val="ListBullet"/>
        <w:ind w:left="0"/>
      </w:pPr>
      <w:r>
        <w:t>PositionClosed</w:t>
      </w:r>
    </w:p>
    <w:p>
      <w:pPr>
        <w:pStyle w:val="ListBullet"/>
        <w:ind w:left="0"/>
      </w:pPr>
      <w:r>
        <w:t>RiskLimitBreached</w:t>
      </w:r>
    </w:p>
    <w:p>
      <w:pPr>
        <w:pStyle w:val="ListBullet"/>
        <w:ind w:left="0"/>
      </w:pPr>
      <w:r>
        <w:t>KillSwitchActivated</w:t>
      </w:r>
    </w:p>
    <w:p>
      <w:pPr>
        <w:pStyle w:val="Heading2"/>
      </w:pPr>
      <w:r>
        <w:t>9.3 Subject Naming Guidance</w:t>
      </w:r>
    </w:p>
    <w:p>
      <w:r>
        <w:t>A simple and durable subject convention is:</w:t>
      </w:r>
    </w:p>
    <w:p>
      <w:pPr>
        <w:pStyle w:val="IntenseQuote"/>
      </w:pPr>
      <w:r>
        <w:t>trading.&lt;bounded-context&gt;.&lt;message-kind&gt;.&lt;message-name&gt;.v1</w:t>
      </w:r>
    </w:p>
    <w:p>
      <w:r>
        <w:t>Examples: trading.market.event.MarketStateUpdated.v1, trading.risk.command.PriceTradeCandidates.v1, trading.execution.query.GetOpenPositions.v1.</w:t>
      </w:r>
    </w:p>
    <w:p>
      <w:pPr>
        <w:pStyle w:val="Heading1"/>
      </w:pPr>
      <w:r>
        <w:t>10. C# Service and Dependency-Injection Architecture</w:t>
      </w:r>
    </w:p>
    <w:p>
      <w:pPr>
        <w:pStyle w:val="SectionLead"/>
      </w:pPr>
      <w:r>
        <w:t>The C# implementation is organized as interfaces plus actor-style hosted services that communicate over NATS and collaborate through explicit message contracts.</w:t>
      </w:r>
    </w:p>
    <w:p>
      <w:r>
        <w:t>The production starter should use Microsoft.Extensions.Hosting and Microsoft.Extensions.DependencyInjection so that all service lifetimes are explicit and testable. Infrastructure concerns, such as NATS clients, serializers, logging, feature-store access, and GPU-pricer adapters, belong in the composition root rather than in business actors.</w:t>
      </w:r>
    </w:p>
    <w:p>
      <w:r>
        <w:t>Each actor should own a bounded slice of state and process messages sequentially for that slice to reduce concurrency bugs. Internal actor queues may be implemented with channels or mailbox processors even though NATS is the cross-service transport. The key design point is that message order and state ownership remain clear.</w:t>
      </w:r>
    </w:p>
    <w:p>
      <w:pPr>
        <w:pStyle w:val="Heading2"/>
      </w:pPr>
      <w:r>
        <w:t>10.1 Architectural Layers</w:t>
      </w:r>
    </w:p>
    <w:p>
      <w:pPr>
        <w:pStyle w:val="ListBullet"/>
        <w:ind w:left="0"/>
      </w:pPr>
      <w:r>
        <w:t>Domain: contracts, value objects, invariants, commands, queries, and events.</w:t>
      </w:r>
    </w:p>
    <w:p>
      <w:pPr>
        <w:pStyle w:val="ListBullet"/>
        <w:ind w:left="0"/>
      </w:pPr>
      <w:r>
        <w:t>Application: orchestrators, policy evaluators, candidate builders, portfolio rules, and actor handlers.</w:t>
      </w:r>
    </w:p>
    <w:p>
      <w:pPr>
        <w:pStyle w:val="ListBullet"/>
        <w:ind w:left="0"/>
      </w:pPr>
      <w:r>
        <w:t>Infrastructure: NATS bus adapter, serializers, persistent stores, market-data adapters, broker integration, GPU-pricer integration, and LLM client.</w:t>
      </w:r>
    </w:p>
    <w:p>
      <w:pPr>
        <w:pStyle w:val="ListBullet"/>
        <w:ind w:left="0"/>
      </w:pPr>
      <w:r>
        <w:t>Host: dependency injection, service registration, configuration binding, observability, and environment bootstrapping.</w:t>
      </w:r>
    </w:p>
    <w:p>
      <w:pPr>
        <w:pStyle w:val="Heading2"/>
      </w:pPr>
      <w:r>
        <w:t>10.2 GPU Hook Design</w:t>
      </w:r>
    </w:p>
    <w:p>
      <w:r>
        <w:t>GPU pricing should be abstracted behind an interface that accepts normalized trade candidates and market state snapshots, then returns a typed response containing max loss, expected value, probability of loss, CVaR, gap stress, volatility-expansion stress, and computed Greeks. The actor model should treat this service as asynchronous and potentially rate-limited.</w:t>
      </w:r>
    </w:p>
    <w:p>
      <w:r>
        <w:t>The software should support both a GPU implementation and a deterministic CPU fallback to enable testing, disaster recovery, and developer workflows. Message contracts should not expose implementation details such as CUDA-specific memory formats; those remain infrastructure concerns.</w:t>
      </w:r>
    </w:p>
    <w:p>
      <w:pPr>
        <w:pStyle w:val="Heading1"/>
      </w:pPr>
      <w:r>
        <w:t>11. Data, Persistence, Replay, and Observability</w:t>
      </w:r>
    </w:p>
    <w:p>
      <w:pPr>
        <w:pStyle w:val="SectionLead"/>
      </w:pPr>
      <w:r>
        <w:t>Institutional systems need replayable state and operational transparency. Message transport alone is not sufficient.</w:t>
      </w:r>
    </w:p>
    <w:p>
      <w:r>
        <w:t>Events should be persisted with enough context to replay decisions. At minimum, the system should store the event payload, event time, processing time, strategy version, feature version, correlation identifiers, causation identifiers, and relevant market-state references. Whether persistence is implemented through a dedicated event store, append-only database tables, or NATS JetStream mirrors is an infrastructure choice; the logical requirement remains the same.</w:t>
      </w:r>
    </w:p>
    <w:p>
      <w:r>
        <w:t>Observability must include structured logging, metrics, and traceable correlation across command handling, GPU requests, risk approvals, and execution acknowledgements. Without those links, post-trade analysis becomes unreliable and operational debugging becomes much slower.</w:t>
      </w:r>
    </w:p>
    <w:p>
      <w:pPr>
        <w:pStyle w:val="Heading2"/>
      </w:pPr>
      <w:r>
        <w:t>11.1 Required Telemetry</w:t>
      </w:r>
    </w:p>
    <w:p>
      <w:pPr>
        <w:pStyle w:val="ListBullet"/>
        <w:ind w:left="0"/>
      </w:pPr>
      <w:r>
        <w:t>Per-message processing latency by actor and message type.</w:t>
      </w:r>
    </w:p>
    <w:p>
      <w:pPr>
        <w:pStyle w:val="ListBullet"/>
        <w:ind w:left="0"/>
      </w:pPr>
      <w:r>
        <w:t>GPU pricing request time, queue time, and timeout count.</w:t>
      </w:r>
    </w:p>
    <w:p>
      <w:pPr>
        <w:pStyle w:val="ListBullet"/>
        <w:ind w:left="0"/>
      </w:pPr>
      <w:r>
        <w:t>NATS publish, subscribe, request-reply, and reconnect metrics.</w:t>
      </w:r>
    </w:p>
    <w:p>
      <w:pPr>
        <w:pStyle w:val="ListBullet"/>
        <w:ind w:left="0"/>
      </w:pPr>
      <w:r>
        <w:t>Trade candidate counts by regime and rejection reason.</w:t>
      </w:r>
    </w:p>
    <w:p>
      <w:pPr>
        <w:pStyle w:val="ListBullet"/>
        <w:ind w:left="0"/>
      </w:pPr>
      <w:r>
        <w:t>Portfolio risk breach counts and kill-switch activations.</w:t>
      </w:r>
    </w:p>
    <w:p>
      <w:pPr>
        <w:pStyle w:val="ListBullet"/>
        <w:ind w:left="0"/>
      </w:pPr>
      <w:r>
        <w:t>Execution-quality metrics: quoted spread, achieved spread, fill latency, and cancel ratio.</w:t>
      </w:r>
    </w:p>
    <w:p>
      <w:pPr>
        <w:pStyle w:val="Heading1"/>
      </w:pPr>
      <w:r>
        <w:t>12. Validation, Backtesting, and Release Controls</w:t>
      </w:r>
    </w:p>
    <w:p>
      <w:pPr>
        <w:pStyle w:val="SectionLead"/>
      </w:pPr>
      <w:r>
        <w:t>Research confidence and production readiness are separate things. Both require explicit controls.</w:t>
      </w:r>
    </w:p>
    <w:p>
      <w:r>
        <w:t>Backtests should be aligned to the event model wherever practical. Even if full actor simulation is not used during research, the backtest pipeline should preserve message-equivalent checkpoints: market-state computation, regime classification, candidate generation, pricing, approval, and execution modeling. This makes it much easier to reconcile research results with live behavior.</w:t>
      </w:r>
    </w:p>
    <w:p>
      <w:r>
        <w:t>Walk-forward validation, parameter perturbation, sensitivity analysis, and failure-case review are mandatory. A strategy that looks strong only under a narrow parameter set is not robust enough for deployment.</w:t>
      </w:r>
    </w:p>
    <w:p>
      <w:pPr>
        <w:pStyle w:val="Heading2"/>
      </w:pPr>
      <w:r>
        <w:t>12.1 Backtest Control Checklist</w:t>
      </w:r>
    </w:p>
    <w:p>
      <w:pPr>
        <w:pStyle w:val="ListBullet"/>
      </w:pPr>
      <w:r>
        <w:t>☐ Validate futures, options, and VIX data timestamp alignment.</w:t>
      </w:r>
    </w:p>
    <w:p>
      <w:pPr>
        <w:pStyle w:val="ListBullet"/>
      </w:pPr>
      <w:r>
        <w:t>☐ Model contract rolls, realistic spreads, and fill assumptions.</w:t>
      </w:r>
    </w:p>
    <w:p>
      <w:pPr>
        <w:pStyle w:val="ListBullet"/>
      </w:pPr>
      <w:r>
        <w:t>☐ Prove that neutral condors appear only in eligible range regimes.</w:t>
      </w:r>
    </w:p>
    <w:p>
      <w:pPr>
        <w:pStyle w:val="ListBullet"/>
      </w:pPr>
      <w:r>
        <w:t>☐ Test weekly and monthly sleeves independently and in aggregate.</w:t>
      </w:r>
    </w:p>
    <w:p>
      <w:pPr>
        <w:pStyle w:val="ListBullet"/>
      </w:pPr>
      <w:r>
        <w:t>☐ Stress portfolio risk under clustered volatility and gap events.</w:t>
      </w:r>
    </w:p>
    <w:p>
      <w:pPr>
        <w:pStyle w:val="ListBullet"/>
      </w:pPr>
      <w:r>
        <w:t>☐ Compare performance with and without the LLM veto layer.</w:t>
      </w:r>
    </w:p>
    <w:p>
      <w:pPr>
        <w:pStyle w:val="ListBullet"/>
      </w:pPr>
      <w:r>
        <w:t>☐ Measure regime-specific contribution rather than aggregate PnL only.</w:t>
      </w:r>
    </w:p>
    <w:p>
      <w:pPr>
        <w:pStyle w:val="ListBullet"/>
      </w:pPr>
      <w:r>
        <w:t>☐ Reconstruct major losers with full decision trace and state evidence.</w:t>
      </w:r>
    </w:p>
    <w:p>
      <w:pPr>
        <w:pStyle w:val="Heading2"/>
      </w:pPr>
      <w:r>
        <w:t>12.2 Release Gates</w:t>
      </w:r>
    </w:p>
    <w:p>
      <w:pPr>
        <w:pStyle w:val="ListNumber"/>
      </w:pPr>
      <w:r>
        <w:t>Unit and integration tests must pass for message contracts, actor handlers, GPU adapter, and execution router.</w:t>
      </w:r>
    </w:p>
    <w:p>
      <w:pPr>
        <w:pStyle w:val="ListNumber"/>
      </w:pPr>
      <w:r>
        <w:t>Replay of a representative historical window must complete without state divergence.</w:t>
      </w:r>
    </w:p>
    <w:p>
      <w:pPr>
        <w:pStyle w:val="ListNumber"/>
      </w:pPr>
      <w:r>
        <w:t>Risk-limit simulation must show correct rejection behavior under synthetic stress.</w:t>
      </w:r>
    </w:p>
    <w:p>
      <w:pPr>
        <w:pStyle w:val="ListNumber"/>
      </w:pPr>
      <w:r>
        <w:t>Operational observability dashboards and alerting must be active before live traffic is enabled.</w:t>
      </w:r>
    </w:p>
    <w:p>
      <w:pPr>
        <w:pStyle w:val="ListNumber"/>
      </w:pPr>
      <w:r>
        <w:t>Paper or shadow mode must complete successfully before capitalized deployment.</w:t>
      </w:r>
    </w:p>
    <w:p>
      <w:pPr>
        <w:pStyle w:val="Heading1"/>
      </w:pPr>
      <w:r>
        <w:t>13. Operating Procedures and Governance</w:t>
      </w:r>
    </w:p>
    <w:p>
      <w:pPr>
        <w:pStyle w:val="SectionLead"/>
      </w:pPr>
      <w:r>
        <w:t>Production trading requires explicit operating procedures for outages, degraded mode, and model change control.</w:t>
      </w:r>
    </w:p>
    <w:p>
      <w:r>
        <w:t>The strategy should support defined degraded modes. If the GPU pricer is unavailable, the system may either fall back to a conservative CPU estimator or disable new entries while continuing to monitor existing positions. If the LLM review service is unavailable, the system should default to either deterministic-only mode or a stricter no-new-entry mode based on governance preference. These decisions should be made in advance and encoded as policies, not improvised during incidents.</w:t>
      </w:r>
    </w:p>
    <w:p>
      <w:r>
        <w:t>Model changes, threshold changes, and message-contract changes should each follow a controlled release process. The event stream should record strategy version, parameter version, and deployment environment so that every decision can be tied back to a known release artifact.</w:t>
      </w:r>
    </w:p>
    <w:p>
      <w:pPr>
        <w:pStyle w:val="Heading2"/>
      </w:pPr>
      <w:r>
        <w:t>13.1 Incident Runbook Highlights</w:t>
      </w:r>
    </w:p>
    <w:p>
      <w:pPr>
        <w:pStyle w:val="ListBullet"/>
        <w:ind w:left="0"/>
      </w:pPr>
      <w:r>
        <w:t>On market-data degradation, freeze new entries and continue protective exit monitoring.</w:t>
      </w:r>
    </w:p>
    <w:p>
      <w:pPr>
        <w:pStyle w:val="ListBullet"/>
        <w:ind w:left="0"/>
      </w:pPr>
      <w:r>
        <w:t>On portfolio risk actor failure, block all new entries until state is restored.</w:t>
      </w:r>
    </w:p>
    <w:p>
      <w:pPr>
        <w:pStyle w:val="ListBullet"/>
        <w:ind w:left="0"/>
      </w:pPr>
      <w:r>
        <w:t>On execution adapter failure, place the system into execution-safe mode and reconcile outstanding orders before resuming.</w:t>
      </w:r>
    </w:p>
    <w:p>
      <w:pPr>
        <w:pStyle w:val="ListBullet"/>
        <w:ind w:left="0"/>
      </w:pPr>
      <w:r>
        <w:t>On NATS outage, preserve actor-local state, stop new-entry workflow, and recover via replay after connectivity is restored.</w:t>
      </w:r>
    </w:p>
    <w:p>
      <w:pPr>
        <w:pStyle w:val="Heading1"/>
      </w:pPr>
      <w:r>
        <w:t>Appendix A. Example Decision Tree</w:t>
      </w:r>
    </w:p>
    <w:p>
      <w:pPr>
        <w:pStyle w:val="SectionLead"/>
      </w:pPr>
      <w:r>
        <w:t>The following text representation is suitable for both design review and implementation traceability.</w:t>
      </w:r>
    </w:p>
    <w:p>
      <w:pPr>
        <w:pStyle w:val="ListNumber"/>
      </w:pPr>
      <w:r>
        <w:t>Start with latest MarketStateUpdated event.</w:t>
      </w:r>
    </w:p>
    <w:p>
      <w:pPr>
        <w:pStyle w:val="ListNumber"/>
      </w:pPr>
      <w:r>
        <w:t>Check kill switches: if any trigger, emit TradeCandidateRejected or enter no-trade state.</w:t>
      </w:r>
    </w:p>
    <w:p>
      <w:pPr>
        <w:pStyle w:val="ListNumber"/>
      </w:pPr>
      <w:r>
        <w:t>Calculate trend, direction, volatility regime, term structure, and transition flags.</w:t>
      </w:r>
    </w:p>
    <w:p>
      <w:pPr>
        <w:pStyle w:val="ListNumber"/>
      </w:pPr>
      <w:r>
        <w:t>If range + normal vol + contango + no transition, build iron-condor candidates.</w:t>
      </w:r>
    </w:p>
    <w:p>
      <w:pPr>
        <w:pStyle w:val="ListNumber"/>
      </w:pPr>
      <w:r>
        <w:t>If developing bullish trend, build bull put spread candidates; add call debit candidates if trend is strong or volatility expanding.</w:t>
      </w:r>
    </w:p>
    <w:p>
      <w:pPr>
        <w:pStyle w:val="ListNumber"/>
      </w:pPr>
      <w:r>
        <w:t>If developing bearish trend, build bear call spread candidates; add put debit candidates if trend is strong or volatility expanding.</w:t>
      </w:r>
    </w:p>
    <w:p>
      <w:pPr>
        <w:pStyle w:val="ListNumber"/>
      </w:pPr>
      <w:r>
        <w:t>If extreme volatility or backwardation stress, disable standard short condors and prefer long-vol or no-trade outcomes.</w:t>
      </w:r>
    </w:p>
    <w:p>
      <w:pPr>
        <w:pStyle w:val="ListNumber"/>
      </w:pPr>
      <w:r>
        <w:t>Price all candidates, apply LLM review, portfolio checks, and execution-quality checks.</w:t>
      </w:r>
    </w:p>
    <w:p>
      <w:pPr>
        <w:pStyle w:val="ListNumber"/>
      </w:pPr>
      <w:r>
        <w:t>Submit only the highest-ranked candidate that passes all gates.</w:t>
      </w:r>
    </w:p>
    <w:p>
      <w:pPr>
        <w:pStyle w:val="Heading1"/>
      </w:pPr>
      <w:r>
        <w:t>Appendix B. Implementation Notes for the Starter Code</w:t>
      </w:r>
    </w:p>
    <w:p>
      <w:r>
        <w:t>The companion C# starter package should include message-contract records, actor interfaces, application services, NATS bus abstractions, a GPU pricer interface, a CPU fallback pricer, execution and risk actors, and a composition root wired with dependency injection. The code is not meant to be the final full stack; it is a production-oriented scaffold that makes domain boundaries and integration points explicit.</w:t>
      </w:r>
    </w:p>
    <w:p>
      <w:r>
        <w:t>The starter should prefer small, strongly typed records and commands over loosely typed generic envelopes in the domain layer. Generic wrappers can exist in infrastructure, but the business model should remain explicit and reviewable.</w:t>
      </w:r>
    </w:p>
    <w:p>
      <w:pPr>
        <w:pStyle w:val="Heading1"/>
      </w:pPr>
      <w:r>
        <w:t>14. Message Contracts and State Ownership</w:t>
      </w:r>
    </w:p>
    <w:p>
      <w:pPr>
        <w:pStyle w:val="SectionLead"/>
      </w:pPr>
      <w:r>
        <w:t>This section expands the event model into concrete contract design principles and state-ownership rules that help the actor system remain coherent under load.</w:t>
      </w:r>
    </w:p>
    <w:p>
      <w:r>
        <w:t>Each command, query, and event should be a strongly typed contract with a stable versioned schema. Message contracts should include identifiers that support replay and causality analysis: MessageId, CorrelationId, CausationId, StrategyVersion, ModelVersion, and OccurredAtUtc. Commands should also include explicit intent fields and should not rely on hidden defaults in downstream handlers.</w:t>
      </w:r>
    </w:p>
    <w:p>
      <w:r>
        <w:t>State ownership must be deliberate. The market-state actor owns the latest feature snapshot. The regime actor owns the latest regime classification. The portfolio risk actor owns the aggregate risk view. The execution actor owns the order lifecycle view. Other actors may consume those facts, but they should not independently mutate them. This principle reduces race conditions and prevents the system from carrying multiple conflicting truths.</w:t>
      </w:r>
    </w:p>
    <w:p>
      <w:pPr>
        <w:pStyle w:val="Heading2"/>
      </w:pPr>
      <w:r>
        <w:t>14.1 Contract Design Checklist</w:t>
      </w:r>
    </w:p>
    <w:p>
      <w:pPr>
        <w:pStyle w:val="ListBullet"/>
      </w:pPr>
      <w:r>
        <w:t>Use immutable record types for commands, queries, and events.</w:t>
      </w:r>
    </w:p>
    <w:p>
      <w:pPr>
        <w:pStyle w:val="ListBullet"/>
      </w:pPr>
      <w:r>
        <w:t>Favor explicit enum or value-object fields over free-text classifications.</w:t>
      </w:r>
    </w:p>
    <w:p>
      <w:pPr>
        <w:pStyle w:val="ListBullet"/>
      </w:pPr>
      <w:r>
        <w:t>Include schema version and business version in every contract.</w:t>
      </w:r>
    </w:p>
    <w:p>
      <w:pPr>
        <w:pStyle w:val="ListBullet"/>
      </w:pPr>
      <w:r>
        <w:t>Ensure nullable fields are intentional and documented.</w:t>
      </w:r>
    </w:p>
    <w:p>
      <w:pPr>
        <w:pStyle w:val="ListBullet"/>
      </w:pPr>
      <w:r>
        <w:t>Separate public business contracts from transport envelopes when needed.</w:t>
      </w:r>
    </w:p>
    <w:p>
      <w:pPr>
        <w:pStyle w:val="ListBullet"/>
      </w:pPr>
      <w:r>
        <w:t>Document retry semantics and idempotency expectations for each command.</w:t>
      </w:r>
    </w:p>
    <w:p>
      <w:pPr>
        <w:pStyle w:val="Heading2"/>
      </w:pPr>
      <w:r>
        <w:t>14.2 Recommended Event Metadata</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BFD3EA"/>
          </w:tcPr>
          <w:p>
            <w:r>
              <w:t>Metadata Field</w:t>
            </w:r>
          </w:p>
        </w:tc>
        <w:tc>
          <w:tcPr>
            <w:tcW w:type="dxa" w:w="2412"/>
            <w:shd w:fill="BFD3EA"/>
          </w:tcPr>
          <w:p>
            <w:r>
              <w:t>Purpose</w:t>
            </w:r>
          </w:p>
        </w:tc>
        <w:tc>
          <w:tcPr>
            <w:tcW w:type="dxa" w:w="2412"/>
            <w:shd w:fill="BFD3EA"/>
          </w:tcPr>
          <w:p>
            <w:r>
              <w:t>Required</w:t>
            </w:r>
          </w:p>
        </w:tc>
        <w:tc>
          <w:tcPr>
            <w:tcW w:type="dxa" w:w="2412"/>
            <w:shd w:fill="BFD3EA"/>
          </w:tcPr>
          <w:p>
            <w:r>
              <w:t>Example</w:t>
            </w:r>
          </w:p>
        </w:tc>
      </w:tr>
      <w:tr>
        <w:tc>
          <w:tcPr>
            <w:tcW w:type="dxa" w:w="2412"/>
          </w:tcPr>
          <w:p>
            <w:r>
              <w:t>MessageId</w:t>
            </w:r>
          </w:p>
        </w:tc>
        <w:tc>
          <w:tcPr>
            <w:tcW w:type="dxa" w:w="2412"/>
          </w:tcPr>
          <w:p>
            <w:r>
              <w:t>Uniquely identifies a message instance</w:t>
            </w:r>
          </w:p>
        </w:tc>
        <w:tc>
          <w:tcPr>
            <w:tcW w:type="dxa" w:w="2412"/>
          </w:tcPr>
          <w:p>
            <w:r>
              <w:t>Yes</w:t>
            </w:r>
          </w:p>
        </w:tc>
        <w:tc>
          <w:tcPr>
            <w:tcW w:type="dxa" w:w="2412"/>
          </w:tcPr>
          <w:p>
            <w:r>
              <w:t>b6d1...</w:t>
            </w:r>
          </w:p>
        </w:tc>
      </w:tr>
      <w:tr>
        <w:tc>
          <w:tcPr>
            <w:tcW w:type="dxa" w:w="2412"/>
          </w:tcPr>
          <w:p>
            <w:r>
              <w:t>CorrelationId</w:t>
            </w:r>
          </w:p>
        </w:tc>
        <w:tc>
          <w:tcPr>
            <w:tcW w:type="dxa" w:w="2412"/>
          </w:tcPr>
          <w:p>
            <w:r>
              <w:t>Links all messages in a business workflow</w:t>
            </w:r>
          </w:p>
        </w:tc>
        <w:tc>
          <w:tcPr>
            <w:tcW w:type="dxa" w:w="2412"/>
          </w:tcPr>
          <w:p>
            <w:r>
              <w:t>Yes</w:t>
            </w:r>
          </w:p>
        </w:tc>
        <w:tc>
          <w:tcPr>
            <w:tcW w:type="dxa" w:w="2412"/>
          </w:tcPr>
          <w:p>
            <w:r>
              <w:t>candidate-approval-123</w:t>
            </w:r>
          </w:p>
        </w:tc>
      </w:tr>
      <w:tr>
        <w:tc>
          <w:tcPr>
            <w:tcW w:type="dxa" w:w="2412"/>
          </w:tcPr>
          <w:p>
            <w:r>
              <w:t>CausationId</w:t>
            </w:r>
          </w:p>
        </w:tc>
        <w:tc>
          <w:tcPr>
            <w:tcW w:type="dxa" w:w="2412"/>
          </w:tcPr>
          <w:p>
            <w:r>
              <w:t>Identifies the message that triggered this one</w:t>
            </w:r>
          </w:p>
        </w:tc>
        <w:tc>
          <w:tcPr>
            <w:tcW w:type="dxa" w:w="2412"/>
          </w:tcPr>
          <w:p>
            <w:r>
              <w:t>Yes</w:t>
            </w:r>
          </w:p>
        </w:tc>
        <w:tc>
          <w:tcPr>
            <w:tcW w:type="dxa" w:w="2412"/>
          </w:tcPr>
          <w:p>
            <w:r>
              <w:t>price-request-456</w:t>
            </w:r>
          </w:p>
        </w:tc>
      </w:tr>
      <w:tr>
        <w:tc>
          <w:tcPr>
            <w:tcW w:type="dxa" w:w="2412"/>
          </w:tcPr>
          <w:p>
            <w:r>
              <w:t>StrategyVersion</w:t>
            </w:r>
          </w:p>
        </w:tc>
        <w:tc>
          <w:tcPr>
            <w:tcW w:type="dxa" w:w="2412"/>
          </w:tcPr>
          <w:p>
            <w:r>
              <w:t>Binds decision to strategy release</w:t>
            </w:r>
          </w:p>
        </w:tc>
        <w:tc>
          <w:tcPr>
            <w:tcW w:type="dxa" w:w="2412"/>
          </w:tcPr>
          <w:p>
            <w:r>
              <w:t>Yes</w:t>
            </w:r>
          </w:p>
        </w:tc>
        <w:tc>
          <w:tcPr>
            <w:tcW w:type="dxa" w:w="2412"/>
          </w:tcPr>
          <w:p>
            <w:r>
              <w:t>2026.03.24</w:t>
            </w:r>
          </w:p>
        </w:tc>
      </w:tr>
      <w:tr>
        <w:tc>
          <w:tcPr>
            <w:tcW w:type="dxa" w:w="2412"/>
          </w:tcPr>
          <w:p>
            <w:r>
              <w:t>FeatureVersion</w:t>
            </w:r>
          </w:p>
        </w:tc>
        <w:tc>
          <w:tcPr>
            <w:tcW w:type="dxa" w:w="2412"/>
          </w:tcPr>
          <w:p>
            <w:r>
              <w:t>Binds decision to feature-calculation release</w:t>
            </w:r>
          </w:p>
        </w:tc>
        <w:tc>
          <w:tcPr>
            <w:tcW w:type="dxa" w:w="2412"/>
          </w:tcPr>
          <w:p>
            <w:r>
              <w:t>Yes</w:t>
            </w:r>
          </w:p>
        </w:tc>
        <w:tc>
          <w:tcPr>
            <w:tcW w:type="dxa" w:w="2412"/>
          </w:tcPr>
          <w:p>
            <w:r>
              <w:t>features.v7</w:t>
            </w:r>
          </w:p>
        </w:tc>
      </w:tr>
      <w:tr>
        <w:tc>
          <w:tcPr>
            <w:tcW w:type="dxa" w:w="2412"/>
          </w:tcPr>
          <w:p>
            <w:r>
              <w:t>OccurredAtUtc</w:t>
            </w:r>
          </w:p>
        </w:tc>
        <w:tc>
          <w:tcPr>
            <w:tcW w:type="dxa" w:w="2412"/>
          </w:tcPr>
          <w:p>
            <w:r>
              <w:t>Business event time</w:t>
            </w:r>
          </w:p>
        </w:tc>
        <w:tc>
          <w:tcPr>
            <w:tcW w:type="dxa" w:w="2412"/>
          </w:tcPr>
          <w:p>
            <w:r>
              <w:t>Yes</w:t>
            </w:r>
          </w:p>
        </w:tc>
        <w:tc>
          <w:tcPr>
            <w:tcW w:type="dxa" w:w="2412"/>
          </w:tcPr>
          <w:p>
            <w:r>
              <w:t>2026-03-24T14:32:18Z</w:t>
            </w:r>
          </w:p>
        </w:tc>
      </w:tr>
      <w:tr>
        <w:tc>
          <w:tcPr>
            <w:tcW w:type="dxa" w:w="2412"/>
          </w:tcPr>
          <w:p>
            <w:r>
              <w:t>ProcessedAtUtc</w:t>
            </w:r>
          </w:p>
        </w:tc>
        <w:tc>
          <w:tcPr>
            <w:tcW w:type="dxa" w:w="2412"/>
          </w:tcPr>
          <w:p>
            <w:r>
              <w:t>Handler completion time</w:t>
            </w:r>
          </w:p>
        </w:tc>
        <w:tc>
          <w:tcPr>
            <w:tcW w:type="dxa" w:w="2412"/>
          </w:tcPr>
          <w:p>
            <w:r>
              <w:t>Recommended</w:t>
            </w:r>
          </w:p>
        </w:tc>
        <w:tc>
          <w:tcPr>
            <w:tcW w:type="dxa" w:w="2412"/>
          </w:tcPr>
          <w:p>
            <w:r>
              <w:t>2026-03-24T14:32:18.145Z</w:t>
            </w:r>
          </w:p>
        </w:tc>
      </w:tr>
      <w:tr>
        <w:tc>
          <w:tcPr>
            <w:tcW w:type="dxa" w:w="2412"/>
          </w:tcPr>
          <w:p>
            <w:r>
              <w:t>ReplayFlag</w:t>
            </w:r>
          </w:p>
        </w:tc>
        <w:tc>
          <w:tcPr>
            <w:tcW w:type="dxa" w:w="2412"/>
          </w:tcPr>
          <w:p>
            <w:r>
              <w:t>Indicates whether event is live or replayed</w:t>
            </w:r>
          </w:p>
        </w:tc>
        <w:tc>
          <w:tcPr>
            <w:tcW w:type="dxa" w:w="2412"/>
          </w:tcPr>
          <w:p>
            <w:r>
              <w:t>Recommended</w:t>
            </w:r>
          </w:p>
        </w:tc>
        <w:tc>
          <w:tcPr>
            <w:tcW w:type="dxa" w:w="2412"/>
          </w:tcPr>
          <w:p>
            <w:r>
              <w:t>false</w:t>
            </w:r>
          </w:p>
        </w:tc>
      </w:tr>
    </w:tbl>
    <w:p>
      <w:pPr>
        <w:pStyle w:val="Heading1"/>
      </w:pPr>
      <w:r>
        <w:t>15. Deployment Topology and Runtime Modes</w:t>
      </w:r>
    </w:p>
    <w:p>
      <w:pPr>
        <w:pStyle w:val="SectionLead"/>
      </w:pPr>
      <w:r>
        <w:t>Production readiness depends not only on code quality but also on how services are deployed, supervised, and degraded safely.</w:t>
      </w:r>
    </w:p>
    <w:p>
      <w:r>
        <w:t>A practical deployment topology uses multiple bounded-context services rather than one monolithic process. Market ingestion, pricing, risk, review, execution, and replay may run as separate hosted services that subscribe to NATS subjects and publish their outputs independently. This supports scaling, isolated restart, and clear operational ownership.</w:t>
      </w:r>
    </w:p>
    <w:p>
      <w:r>
        <w:t>The platform should support at least four runtime modes: development mode with mock market data and CPU pricing; simulation mode with recorded market-state replay; shadow mode where live decisions are produced but not sent to market; and live mode with controlled execution rights. Switching among these modes should be explicit and environment driven.</w:t>
      </w:r>
    </w:p>
    <w:p>
      <w:pPr>
        <w:pStyle w:val="Heading2"/>
      </w:pPr>
      <w:r>
        <w:t>15.1 Suggested Runtime Modes</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1930"/>
            <w:shd w:fill="BFD3EA"/>
          </w:tcPr>
          <w:p>
            <w:r>
              <w:t>Mode</w:t>
            </w:r>
          </w:p>
        </w:tc>
        <w:tc>
          <w:tcPr>
            <w:tcW w:type="dxa" w:w="1930"/>
            <w:shd w:fill="BFD3EA"/>
          </w:tcPr>
          <w:p>
            <w:r>
              <w:t>Data Source</w:t>
            </w:r>
          </w:p>
        </w:tc>
        <w:tc>
          <w:tcPr>
            <w:tcW w:type="dxa" w:w="1930"/>
            <w:shd w:fill="BFD3EA"/>
          </w:tcPr>
          <w:p>
            <w:r>
              <w:t>Order Routing</w:t>
            </w:r>
          </w:p>
        </w:tc>
        <w:tc>
          <w:tcPr>
            <w:tcW w:type="dxa" w:w="1930"/>
            <w:shd w:fill="BFD3EA"/>
          </w:tcPr>
          <w:p>
            <w:r>
              <w:t>Pricing Engine</w:t>
            </w:r>
          </w:p>
        </w:tc>
        <w:tc>
          <w:tcPr>
            <w:tcW w:type="dxa" w:w="1930"/>
            <w:shd w:fill="BFD3EA"/>
          </w:tcPr>
          <w:p>
            <w:r>
              <w:t>Primary Use</w:t>
            </w:r>
          </w:p>
        </w:tc>
      </w:tr>
      <w:tr>
        <w:tc>
          <w:tcPr>
            <w:tcW w:type="dxa" w:w="1930"/>
          </w:tcPr>
          <w:p>
            <w:r>
              <w:t>Development</w:t>
            </w:r>
          </w:p>
        </w:tc>
        <w:tc>
          <w:tcPr>
            <w:tcW w:type="dxa" w:w="1930"/>
          </w:tcPr>
          <w:p>
            <w:r>
              <w:t>Synthetic or recorded</w:t>
            </w:r>
          </w:p>
        </w:tc>
        <w:tc>
          <w:tcPr>
            <w:tcW w:type="dxa" w:w="1930"/>
          </w:tcPr>
          <w:p>
            <w:r>
              <w:t>Disabled</w:t>
            </w:r>
          </w:p>
        </w:tc>
        <w:tc>
          <w:tcPr>
            <w:tcW w:type="dxa" w:w="1930"/>
          </w:tcPr>
          <w:p>
            <w:r>
              <w:t>CPU fallback</w:t>
            </w:r>
          </w:p>
        </w:tc>
        <w:tc>
          <w:tcPr>
            <w:tcW w:type="dxa" w:w="1930"/>
          </w:tcPr>
          <w:p>
            <w:r>
              <w:t>Local debugging and contract testing</w:t>
            </w:r>
          </w:p>
        </w:tc>
      </w:tr>
      <w:tr>
        <w:tc>
          <w:tcPr>
            <w:tcW w:type="dxa" w:w="1930"/>
          </w:tcPr>
          <w:p>
            <w:r>
              <w:t>Simulation</w:t>
            </w:r>
          </w:p>
        </w:tc>
        <w:tc>
          <w:tcPr>
            <w:tcW w:type="dxa" w:w="1930"/>
          </w:tcPr>
          <w:p>
            <w:r>
              <w:t>Historical replay</w:t>
            </w:r>
          </w:p>
        </w:tc>
        <w:tc>
          <w:tcPr>
            <w:tcW w:type="dxa" w:w="1930"/>
          </w:tcPr>
          <w:p>
            <w:r>
              <w:t>Disabled</w:t>
            </w:r>
          </w:p>
        </w:tc>
        <w:tc>
          <w:tcPr>
            <w:tcW w:type="dxa" w:w="1930"/>
          </w:tcPr>
          <w:p>
            <w:r>
              <w:t>CPU or GPU</w:t>
            </w:r>
          </w:p>
        </w:tc>
        <w:tc>
          <w:tcPr>
            <w:tcW w:type="dxa" w:w="1930"/>
          </w:tcPr>
          <w:p>
            <w:r>
              <w:t>Backtest and event-flow validation</w:t>
            </w:r>
          </w:p>
        </w:tc>
      </w:tr>
      <w:tr>
        <w:tc>
          <w:tcPr>
            <w:tcW w:type="dxa" w:w="1930"/>
          </w:tcPr>
          <w:p>
            <w:r>
              <w:t>Shadow</w:t>
            </w:r>
          </w:p>
        </w:tc>
        <w:tc>
          <w:tcPr>
            <w:tcW w:type="dxa" w:w="1930"/>
          </w:tcPr>
          <w:p>
            <w:r>
              <w:t>Live market data</w:t>
            </w:r>
          </w:p>
        </w:tc>
        <w:tc>
          <w:tcPr>
            <w:tcW w:type="dxa" w:w="1930"/>
          </w:tcPr>
          <w:p>
            <w:r>
              <w:t>Paper only</w:t>
            </w:r>
          </w:p>
        </w:tc>
        <w:tc>
          <w:tcPr>
            <w:tcW w:type="dxa" w:w="1930"/>
          </w:tcPr>
          <w:p>
            <w:r>
              <w:t>GPU preferred</w:t>
            </w:r>
          </w:p>
        </w:tc>
        <w:tc>
          <w:tcPr>
            <w:tcW w:type="dxa" w:w="1930"/>
          </w:tcPr>
          <w:p>
            <w:r>
              <w:t>Operational dress rehearsal</w:t>
            </w:r>
          </w:p>
        </w:tc>
      </w:tr>
      <w:tr>
        <w:tc>
          <w:tcPr>
            <w:tcW w:type="dxa" w:w="1930"/>
          </w:tcPr>
          <w:p>
            <w:r>
              <w:t>Live</w:t>
            </w:r>
          </w:p>
        </w:tc>
        <w:tc>
          <w:tcPr>
            <w:tcW w:type="dxa" w:w="1930"/>
          </w:tcPr>
          <w:p>
            <w:r>
              <w:t>Live market data</w:t>
            </w:r>
          </w:p>
        </w:tc>
        <w:tc>
          <w:tcPr>
            <w:tcW w:type="dxa" w:w="1930"/>
          </w:tcPr>
          <w:p>
            <w:r>
              <w:t>Broker enabled</w:t>
            </w:r>
          </w:p>
        </w:tc>
        <w:tc>
          <w:tcPr>
            <w:tcW w:type="dxa" w:w="1930"/>
          </w:tcPr>
          <w:p>
            <w:r>
              <w:t>GPU with fallback policy</w:t>
            </w:r>
          </w:p>
        </w:tc>
        <w:tc>
          <w:tcPr>
            <w:tcW w:type="dxa" w:w="1930"/>
          </w:tcPr>
          <w:p>
            <w:r>
              <w:t>Capitalized trading</w:t>
            </w:r>
          </w:p>
        </w:tc>
      </w:tr>
    </w:tbl>
    <w:p>
      <w:pPr>
        <w:pStyle w:val="Heading2"/>
      </w:pPr>
      <w:r>
        <w:t>15.2 Resilience Policies</w:t>
      </w:r>
    </w:p>
    <w:p>
      <w:pPr>
        <w:pStyle w:val="ListBullet"/>
      </w:pPr>
      <w:r>
        <w:t>Use idempotent command handling for re-delivery-safe operations.</w:t>
      </w:r>
    </w:p>
    <w:p>
      <w:pPr>
        <w:pStyle w:val="ListBullet"/>
      </w:pPr>
      <w:r>
        <w:t>Adopt bounded retries with dead-letter or parking-subject behavior for repeated failures.</w:t>
      </w:r>
    </w:p>
    <w:p>
      <w:pPr>
        <w:pStyle w:val="ListBullet"/>
      </w:pPr>
      <w:r>
        <w:t>Require health checks for market data, pricing, risk, and execution adapters.</w:t>
      </w:r>
    </w:p>
    <w:p>
      <w:pPr>
        <w:pStyle w:val="ListBullet"/>
      </w:pPr>
      <w:r>
        <w:t>Document fallback policy for GPU outage, LLM outage, and broker adapter outage.</w:t>
      </w:r>
    </w:p>
    <w:p>
      <w:pPr>
        <w:pStyle w:val="ListBullet"/>
      </w:pPr>
      <w:r>
        <w:t>Use replayable event logs to recover actor state after restart.</w:t>
      </w:r>
    </w:p>
    <w:p>
      <w:pPr>
        <w:pStyle w:val="Heading1"/>
      </w:pPr>
      <w:r>
        <w:t>16. Security, Access Control, and Change Management</w:t>
      </w:r>
    </w:p>
    <w:p>
      <w:pPr>
        <w:pStyle w:val="SectionLead"/>
      </w:pPr>
      <w:r>
        <w:t>Institutional software must be defensible from an operational-risk perspective, not only from a quant perspective.</w:t>
      </w:r>
    </w:p>
    <w:p>
      <w:r>
        <w:t>Credentials for broker APIs, market-data providers, NATS, GPU backends, and LLM services should never be embedded in source code or message payloads. They belong in a secure secrets manager or environment-specific vault integration. Services should use least-privilege credentials and separate paper from live trading accounts by environment.</w:t>
      </w:r>
    </w:p>
    <w:p>
      <w:r>
        <w:t>Change control should distinguish among source-code releases, parameter releases, and model releases. A strategy threshold change may be business-critical even if it does not change a single line of application code. All such changes should be versioned and captured in decision events.</w:t>
      </w:r>
    </w:p>
    <w:p>
      <w:pPr>
        <w:pStyle w:val="Heading2"/>
      </w:pPr>
      <w:r>
        <w:t>16.1 Minimum Security Controls</w:t>
      </w:r>
    </w:p>
    <w:p>
      <w:pPr>
        <w:pStyle w:val="ListBullet"/>
      </w:pPr>
      <w:r>
        <w:t>Authenticated and encrypted NATS connections where supported.</w:t>
      </w:r>
    </w:p>
    <w:p>
      <w:pPr>
        <w:pStyle w:val="ListBullet"/>
      </w:pPr>
      <w:r>
        <w:t>Secrets rotation and environment-specific credential scopes.</w:t>
      </w:r>
    </w:p>
    <w:p>
      <w:pPr>
        <w:pStyle w:val="ListBullet"/>
      </w:pPr>
      <w:r>
        <w:t>Role-based access for operational dashboards and control commands.</w:t>
      </w:r>
    </w:p>
    <w:p>
      <w:pPr>
        <w:pStyle w:val="ListBullet"/>
      </w:pPr>
      <w:r>
        <w:t>Immutable audit trail for kill-switch activations, manual interventions, and parameter changes.</w:t>
      </w:r>
    </w:p>
    <w:p>
      <w:pPr>
        <w:pStyle w:val="ListBullet"/>
      </w:pPr>
      <w:r>
        <w:t>Separation of duties between developers, operators, and release approvers.</w:t>
      </w:r>
    </w:p>
    <w:p>
      <w:pPr>
        <w:pStyle w:val="Heading1"/>
      </w:pPr>
      <w:r>
        <w:t>17. Acceptance Tests and Production Readiness Criteria</w:t>
      </w:r>
    </w:p>
    <w:p>
      <w:pPr>
        <w:pStyle w:val="SectionLead"/>
      </w:pPr>
      <w:r>
        <w:t>Before this strategy is treated as production-ready, it should pass explicit acceptance scenarios that mirror real operational workflows.</w:t>
      </w:r>
    </w:p>
    <w:p>
      <w:r>
        <w:t>Acceptance tests should cover not just positive-path trading scenarios but also the system's response to outages, stale quotes, duplicated events, replay mode, partial fills, pricing delays, and regime flips after an order is approved but before it is fully filled.</w:t>
      </w:r>
    </w:p>
    <w:p>
      <w:r>
        <w:t>A production readiness review should evaluate whether the strategy behaves correctly under uncertainty, whether the event model remains coherent during failures, and whether operators can understand what the system is doing without reverse engineering source code from logs.</w:t>
      </w:r>
    </w:p>
    <w:p>
      <w:pPr>
        <w:pStyle w:val="Heading2"/>
      </w:pPr>
      <w:r>
        <w:t>17.1 Example Acceptance Scenarios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BFD3EA"/>
          </w:tcPr>
          <w:p>
            <w:r>
              <w:t>Scenario</w:t>
            </w:r>
          </w:p>
        </w:tc>
        <w:tc>
          <w:tcPr>
            <w:tcW w:type="dxa" w:w="2412"/>
            <w:shd w:fill="BFD3EA"/>
          </w:tcPr>
          <w:p>
            <w:r>
              <w:t>Expected Behavior</w:t>
            </w:r>
          </w:p>
        </w:tc>
        <w:tc>
          <w:tcPr>
            <w:tcW w:type="dxa" w:w="2412"/>
            <w:shd w:fill="BFD3EA"/>
          </w:tcPr>
          <w:p>
            <w:r>
              <w:t>Primary Actor</w:t>
            </w:r>
          </w:p>
        </w:tc>
        <w:tc>
          <w:tcPr>
            <w:tcW w:type="dxa" w:w="2412"/>
            <w:shd w:fill="BFD3EA"/>
          </w:tcPr>
          <w:p>
            <w:r>
              <w:t>Pass Condition</w:t>
            </w:r>
          </w:p>
        </w:tc>
      </w:tr>
      <w:tr>
        <w:tc>
          <w:tcPr>
            <w:tcW w:type="dxa" w:w="2412"/>
          </w:tcPr>
          <w:p>
            <w:r>
              <w:t>Range regime with normal volatility</w:t>
            </w:r>
          </w:p>
        </w:tc>
        <w:tc>
          <w:tcPr>
            <w:tcW w:type="dxa" w:w="2412"/>
          </w:tcPr>
          <w:p>
            <w:r>
              <w:t>System generates iron-condor candidates and approves only those within risk budget</w:t>
            </w:r>
          </w:p>
        </w:tc>
        <w:tc>
          <w:tcPr>
            <w:tcW w:type="dxa" w:w="2412"/>
          </w:tcPr>
          <w:p>
            <w:r>
              <w:t>Candidate + Risk actors</w:t>
            </w:r>
          </w:p>
        </w:tc>
        <w:tc>
          <w:tcPr>
            <w:tcW w:type="dxa" w:w="2412"/>
          </w:tcPr>
          <w:p>
            <w:r>
              <w:t>At least one eligible candidate is priced, checked, and routed correctly</w:t>
            </w:r>
          </w:p>
        </w:tc>
      </w:tr>
      <w:tr>
        <w:tc>
          <w:tcPr>
            <w:tcW w:type="dxa" w:w="2412"/>
          </w:tcPr>
          <w:p>
            <w:r>
              <w:t>Strong bearish transition after neutral short-vol position opens</w:t>
            </w:r>
          </w:p>
        </w:tc>
        <w:tc>
          <w:tcPr>
            <w:tcW w:type="dxa" w:w="2412"/>
          </w:tcPr>
          <w:p>
            <w:r>
              <w:t>Position monitor emits close command before max hold window</w:t>
            </w:r>
          </w:p>
        </w:tc>
        <w:tc>
          <w:tcPr>
            <w:tcW w:type="dxa" w:w="2412"/>
          </w:tcPr>
          <w:p>
            <w:r>
              <w:t>Position Monitor</w:t>
            </w:r>
          </w:p>
        </w:tc>
        <w:tc>
          <w:tcPr>
            <w:tcW w:type="dxa" w:w="2412"/>
          </w:tcPr>
          <w:p>
            <w:r>
              <w:t>Exit command issued with full causal trail</w:t>
            </w:r>
          </w:p>
        </w:tc>
      </w:tr>
      <w:tr>
        <w:tc>
          <w:tcPr>
            <w:tcW w:type="dxa" w:w="2412"/>
          </w:tcPr>
          <w:p>
            <w:r>
              <w:t>GPU pricing timeout</w:t>
            </w:r>
          </w:p>
        </w:tc>
        <w:tc>
          <w:tcPr>
            <w:tcW w:type="dxa" w:w="2412"/>
          </w:tcPr>
          <w:p>
            <w:r>
              <w:t>System invokes fallback policy and blocks or reroutes new-entry workflow per policy</w:t>
            </w:r>
          </w:p>
        </w:tc>
        <w:tc>
          <w:tcPr>
            <w:tcW w:type="dxa" w:w="2412"/>
          </w:tcPr>
          <w:p>
            <w:r>
              <w:t>GPU Pricing Actor</w:t>
            </w:r>
          </w:p>
        </w:tc>
        <w:tc>
          <w:tcPr>
            <w:tcW w:type="dxa" w:w="2412"/>
          </w:tcPr>
          <w:p>
            <w:r>
              <w:t>No silent approval without pricing result</w:t>
            </w:r>
          </w:p>
        </w:tc>
      </w:tr>
      <w:tr>
        <w:tc>
          <w:tcPr>
            <w:tcW w:type="dxa" w:w="2412"/>
          </w:tcPr>
          <w:p>
            <w:r>
              <w:t>Duplicate order acknowledgement</w:t>
            </w:r>
          </w:p>
        </w:tc>
        <w:tc>
          <w:tcPr>
            <w:tcW w:type="dxa" w:w="2412"/>
          </w:tcPr>
          <w:p>
            <w:r>
              <w:t>Execution reconciles idempotently and does not double-count fills</w:t>
            </w:r>
          </w:p>
        </w:tc>
        <w:tc>
          <w:tcPr>
            <w:tcW w:type="dxa" w:w="2412"/>
          </w:tcPr>
          <w:p>
            <w:r>
              <w:t>Execution Actor</w:t>
            </w:r>
          </w:p>
        </w:tc>
        <w:tc>
          <w:tcPr>
            <w:tcW w:type="dxa" w:w="2412"/>
          </w:tcPr>
          <w:p>
            <w:r>
              <w:t>Final position state remains correct</w:t>
            </w:r>
          </w:p>
        </w:tc>
      </w:tr>
      <w:tr>
        <w:tc>
          <w:tcPr>
            <w:tcW w:type="dxa" w:w="2412"/>
          </w:tcPr>
          <w:p>
            <w:r>
              <w:t>NATS reconnect during shadow mode</w:t>
            </w:r>
          </w:p>
        </w:tc>
        <w:tc>
          <w:tcPr>
            <w:tcW w:type="dxa" w:w="2412"/>
          </w:tcPr>
          <w:p>
            <w:r>
              <w:t>Actors recover and continue consuming without state corruption</w:t>
            </w:r>
          </w:p>
        </w:tc>
        <w:tc>
          <w:tcPr>
            <w:tcW w:type="dxa" w:w="2412"/>
          </w:tcPr>
          <w:p>
            <w:r>
              <w:t>All service hosts</w:t>
            </w:r>
          </w:p>
        </w:tc>
        <w:tc>
          <w:tcPr>
            <w:tcW w:type="dxa" w:w="2412"/>
          </w:tcPr>
          <w:p>
            <w:r>
              <w:t>Replay or continuation yields consistent state</w:t>
            </w:r>
          </w:p>
        </w:tc>
      </w:tr>
    </w:tbl>
    <w:p>
      <w:pPr>
        <w:pStyle w:val="Heading2"/>
      </w:pPr>
      <w:r>
        <w:t>17.2 Readiness Checklist</w:t>
      </w:r>
    </w:p>
    <w:p>
      <w:pPr>
        <w:pStyle w:val="ListBullet"/>
      </w:pPr>
      <w:r>
        <w:t>☐ All message contracts reviewed and versioned.</w:t>
      </w:r>
    </w:p>
    <w:p>
      <w:pPr>
        <w:pStyle w:val="ListBullet"/>
      </w:pPr>
      <w:r>
        <w:t>☐ All core actors expose health status and structured logs.</w:t>
      </w:r>
    </w:p>
    <w:p>
      <w:pPr>
        <w:pStyle w:val="ListBullet"/>
      </w:pPr>
      <w:r>
        <w:t>☐ Replay of at least one multi-week historical window completed without state divergence.</w:t>
      </w:r>
    </w:p>
    <w:p>
      <w:pPr>
        <w:pStyle w:val="ListBullet"/>
      </w:pPr>
      <w:r>
        <w:t>☐ Emergency controls and operational runbooks validated by non-developer operator.</w:t>
      </w:r>
    </w:p>
    <w:p>
      <w:pPr>
        <w:pStyle w:val="ListBullet"/>
      </w:pPr>
      <w:r>
        <w:t>☐ Paper or shadow mode sign-off completed.</w:t>
      </w:r>
    </w:p>
    <w:p>
      <w:pPr>
        <w:pStyle w:val="ListBullet"/>
      </w:pPr>
      <w:r>
        <w:t>☐ Risk governance sign-off completed for thresholds, concentration rules, and degraded-mode policies.</w:t>
      </w:r>
    </w:p>
    <w:p>
      <w:pPr>
        <w:pStyle w:val="Heading1"/>
      </w:pPr>
      <w:r>
        <w:t>18. Final Design Summary</w:t>
      </w:r>
    </w:p>
    <w:p>
      <w:pPr>
        <w:pStyle w:val="SectionLead"/>
      </w:pPr>
      <w:r>
        <w:t>The revised system is intentionally conservative where the original concept was structurally exposed, and intentionally modular where production complexity is unavoidable.</w:t>
      </w:r>
    </w:p>
    <w:p>
      <w:r>
        <w:t>The strategy now behaves as a disciplined regime-adaptive platform: range states harvest theta with neutral structures, trends are expressed directionally, extreme volatility suppresses standard short-condor behavior, and all decisions are subordinate to explicit risk and portfolio controls. Intrinsic time has been upgraded from a signal curiosity into a genuine operating framework for both entries and exits.</w:t>
      </w:r>
    </w:p>
    <w:p>
      <w:r>
        <w:t>The software architecture is designed for institutional traceability. Every important business action is represented as a command, query, or event. Actors own local state. NATS provides the transport backbone. GPU pricing and LLM review are integrated as pluggable dependencies rather than hidden assumptions. This combination should make the system materially easier to research, audit, operate, and evolve.</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Intrinsic-Time Regime-Adaptive ES Options Strategy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4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A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ead">
    <w:name w:val="SectionLead"/>
    <w:rPr>
      <w:rFonts w:ascii="Aptos" w:hAnsi="Aptos"/>
      <w:i/>
      <w:color w:val="464646"/>
      <w:sz w:val="22"/>
    </w:rPr>
  </w:style>
  <w:style w:type="paragraph" w:customStyle="1" w:styleId="SmallText">
    <w:name w:val="SmallText"/>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