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F3857"/>
          <w:sz w:val="48"/>
        </w:rPr>
        <w:t>Agentic AI Trading System</w:t>
        <w:br/>
        <w:t>Enhancement Blueprint</w:t>
      </w:r>
    </w:p>
    <w:p>
      <w:pPr>
        <w:jc w:val="center"/>
      </w:pPr>
      <w:r>
        <w:rPr>
          <w:i/>
          <w:sz w:val="24"/>
        </w:rPr>
        <w:t>Integrated enhancements for the intrinsic-time ES options strategy, agentic orchestration boundary, phased roadmap, and NATS actor-model backtesting/replay design</w:t>
      </w:r>
    </w:p>
    <w:tbl>
      <w:tblPr>
        <w:tblW w:type="auto" w:w="0"/>
        <w:jc w:val="center"/>
        <w:tblLayout w:type="fixed"/>
        <w:tblLook w:firstColumn="1" w:firstRow="1" w:lastColumn="0" w:lastRow="0" w:noHBand="0" w:noVBand="1" w:val="04A0"/>
      </w:tblPr>
      <w:tblGrid>
        <w:gridCol w:w="2880"/>
        <w:gridCol w:w="6480"/>
      </w:tblGrid>
      <w:tr>
        <w:tc>
          <w:tcPr>
            <w:tcW w:type="dxa" w:w="4968"/>
            <w:vAlign w:val="center"/>
            <w:shd w:fill="1F4E78"/>
          </w:tcPr>
          <w:p>
            <w:r/>
            <w:r>
              <w:rPr>
                <w:b/>
                <w:color w:val="FFFFFF"/>
                <w:sz w:val="20"/>
              </w:rPr>
              <w:t>Scope</w:t>
            </w:r>
          </w:p>
        </w:tc>
        <w:tc>
          <w:tcPr>
            <w:tcW w:type="dxa" w:w="4968"/>
            <w:vAlign w:val="center"/>
          </w:tcPr>
          <w:p>
            <w:r/>
            <w:r>
              <w:rPr>
                <w:b w:val="0"/>
                <w:sz w:val="20"/>
              </w:rPr>
              <w:t>Architecture package update with market, AI, operational, and validation enhancements.</w:t>
            </w:r>
          </w:p>
        </w:tc>
      </w:tr>
      <w:tr>
        <w:tc>
          <w:tcPr>
            <w:tcW w:type="dxa" w:w="4968"/>
            <w:vAlign w:val="center"/>
            <w:shd w:fill="1F4E78"/>
          </w:tcPr>
          <w:p>
            <w:r/>
            <w:r>
              <w:rPr>
                <w:b/>
                <w:color w:val="FFFFFF"/>
                <w:sz w:val="20"/>
              </w:rPr>
              <w:t>Primary principle</w:t>
            </w:r>
          </w:p>
        </w:tc>
        <w:tc>
          <w:tcPr>
            <w:tcW w:type="dxa" w:w="4968"/>
            <w:vAlign w:val="center"/>
          </w:tcPr>
          <w:p>
            <w:r/>
            <w:r>
              <w:rPr>
                <w:b w:val="0"/>
                <w:sz w:val="20"/>
              </w:rPr>
              <w:t>OpenClaw and MCP remain outside the trusted execution boundary; deterministic action control remains inside the core trading system.</w:t>
            </w:r>
          </w:p>
        </w:tc>
      </w:tr>
      <w:tr>
        <w:tc>
          <w:tcPr>
            <w:tcW w:type="dxa" w:w="4968"/>
            <w:vAlign w:val="center"/>
            <w:shd w:fill="1F4E78"/>
          </w:tcPr>
          <w:p>
            <w:r/>
            <w:r>
              <w:rPr>
                <w:b/>
                <w:color w:val="FFFFFF"/>
                <w:sz w:val="20"/>
              </w:rPr>
              <w:t>New package components</w:t>
            </w:r>
          </w:p>
        </w:tc>
        <w:tc>
          <w:tcPr>
            <w:tcW w:type="dxa" w:w="4968"/>
            <w:vAlign w:val="center"/>
          </w:tcPr>
          <w:p>
            <w:r/>
            <w:r>
              <w:rPr>
                <w:b w:val="0"/>
                <w:sz w:val="20"/>
              </w:rPr>
              <w:t>Strategy enhancement specification, phased roadmap, backtesting and replay architecture, and revised C# starter contracts/pseudo-code.</w:t>
            </w:r>
          </w:p>
        </w:tc>
      </w:tr>
    </w:tbl>
    <w:p/>
    <w:p>
      <w:r>
        <w:rPr>
          <w:b/>
          <w:color w:val="154360"/>
          <w:sz w:val="28"/>
        </w:rPr>
        <w:t>Contents</w:t>
      </w:r>
    </w:p>
    <w:p>
      <w:pPr>
        <w:ind w:left="360"/>
      </w:pPr>
      <w:r>
        <w:t>1. Executive summary</w:t>
      </w:r>
    </w:p>
    <w:p>
      <w:pPr>
        <w:ind w:left="360"/>
      </w:pPr>
      <w:r>
        <w:t>2. Enhancement portfolio integrated into the strategy</w:t>
      </w:r>
    </w:p>
    <w:p>
      <w:pPr>
        <w:ind w:left="360"/>
      </w:pPr>
      <w:r>
        <w:t>3. Detailed enhancement specifications</w:t>
      </w:r>
    </w:p>
    <w:p>
      <w:pPr>
        <w:ind w:left="360"/>
      </w:pPr>
      <w:r>
        <w:t>4. Deterministic control refinements</w:t>
      </w:r>
    </w:p>
    <w:p>
      <w:pPr>
        <w:ind w:left="360"/>
      </w:pPr>
      <w:r>
        <w:t>5. Phased implementation roadmap</w:t>
      </w:r>
    </w:p>
    <w:p>
      <w:pPr>
        <w:ind w:left="360"/>
      </w:pPr>
      <w:r>
        <w:t>6. Code modules and service boundaries</w:t>
      </w:r>
    </w:p>
    <w:p>
      <w:pPr>
        <w:ind w:left="360"/>
      </w:pPr>
      <w:r>
        <w:t>7. Backtesting and replay system design</w:t>
      </w:r>
    </w:p>
    <w:p>
      <w:pPr>
        <w:ind w:left="360"/>
      </w:pPr>
      <w:r>
        <w:t>8. NATS and JetStream topology for replay</w:t>
      </w:r>
    </w:p>
    <w:p>
      <w:pPr>
        <w:ind w:left="360"/>
      </w:pPr>
      <w:r>
        <w:t>9. Data model and audit requirements</w:t>
      </w:r>
    </w:p>
    <w:p>
      <w:pPr>
        <w:ind w:left="360"/>
      </w:pPr>
      <w:r>
        <w:t>10. Recommended rollout sequence</w:t>
      </w:r>
    </w:p>
    <w:p>
      <w:r>
        <w:br w:type="page"/>
      </w:r>
    </w:p>
    <w:p>
      <w:pPr>
        <w:pStyle w:val="Heading1"/>
      </w:pPr>
      <w:r>
        <w:t>1. Executive summary</w:t>
      </w:r>
    </w:p>
    <w:p>
      <w:r>
        <w:t>This update folds additional market-structure, AI-assist, operational, and research enhancements into the existing intrinsic-time ES options trading architecture package. The design goal remains unchanged: the agentic layer can observe, interpret, orchestrate, and recommend, but only the trusted core trading system can authorize deterministic trade intents and route orders.</w:t>
      </w:r>
    </w:p>
    <w:p>
      <w:r>
        <w:t>The new package extends the strategy in five directions. First, it improves market realism through futures maturity roll handling, continuous pricing, volatility surface awareness, liquidity-aware execution, and event-calendar gating. Second, it upgrades regime quality using transition-probability logic, volatility clustering, and selective cross-asset context. Third, it constrains semantic analysis of news feeds to a bounded risk-modifier role rather than allowing news to generate trades directly. Fourth, it formalizes an institutional backtesting and replay plant that replays signals, agent workflows, recommendation dispositions, deterministic intents, and fills over NATS and JetStream. Fifth, it adds a phased implementation roadmap with clearly scoped code modules.</w:t>
      </w:r>
    </w:p>
    <w:p>
      <w:r>
        <w:t>The architecture remains intentionally split into an outer agent-orchestration perimeter and an inner trading-action perimeter. OpenClaw handles webhook-driven task orchestration; the MCP bridge serves as the only brokered interface to trading data and recommendation publishing; and the core trading plane owns rule evaluation, risk, candidate generation, portfolio control, order routing, and audit truth.</w:t>
      </w:r>
    </w:p>
    <w:p>
      <w:pPr>
        <w:pStyle w:val="Heading1"/>
      </w:pPr>
      <w:r>
        <w:t>2. Enhancement portfolio integrated into the strategy</w:t>
      </w:r>
    </w:p>
    <w:tbl>
      <w:tblPr>
        <w:tblW w:type="auto" w:w="0"/>
        <w:jc w:val="center"/>
        <w:tblLayout w:type="fixed"/>
        <w:tblLook w:firstColumn="1" w:firstRow="1" w:lastColumn="0" w:lastRow="0" w:noHBand="0" w:noVBand="1" w:val="04A0"/>
      </w:tblPr>
      <w:tblGrid>
        <w:gridCol w:w="2736"/>
        <w:gridCol w:w="4752"/>
        <w:gridCol w:w="3024"/>
      </w:tblGrid>
      <w:tr>
        <w:trPr>
          <w:tblHeader w:val="true"/>
        </w:trPr>
        <w:tc>
          <w:tcPr>
            <w:tcW w:type="dxa" w:w="3312"/>
            <w:vAlign w:val="center"/>
            <w:shd w:fill="1F4E78"/>
          </w:tcPr>
          <w:p>
            <w:pPr>
              <w:jc w:val="center"/>
            </w:pPr>
            <w:r/>
            <w:r>
              <w:rPr>
                <w:b/>
                <w:color w:val="FFFFFF"/>
                <w:sz w:val="20"/>
              </w:rPr>
              <w:t>Enhancement group</w:t>
            </w:r>
          </w:p>
        </w:tc>
        <w:tc>
          <w:tcPr>
            <w:tcW w:type="dxa" w:w="3312"/>
            <w:vAlign w:val="center"/>
            <w:shd w:fill="1F4E78"/>
          </w:tcPr>
          <w:p>
            <w:pPr>
              <w:jc w:val="center"/>
            </w:pPr>
            <w:r/>
            <w:r>
              <w:rPr>
                <w:b/>
                <w:color w:val="FFFFFF"/>
                <w:sz w:val="20"/>
              </w:rPr>
              <w:t>Integrated components</w:t>
            </w:r>
          </w:p>
        </w:tc>
        <w:tc>
          <w:tcPr>
            <w:tcW w:type="dxa" w:w="3312"/>
            <w:vAlign w:val="center"/>
            <w:shd w:fill="1F4E78"/>
          </w:tcPr>
          <w:p>
            <w:pPr>
              <w:jc w:val="center"/>
            </w:pPr>
            <w:r/>
            <w:r>
              <w:rPr>
                <w:b/>
                <w:color w:val="FFFFFF"/>
                <w:sz w:val="20"/>
              </w:rPr>
              <w:t>Purpose in live system</w:t>
            </w:r>
          </w:p>
        </w:tc>
      </w:tr>
      <w:tr>
        <w:tc>
          <w:tcPr>
            <w:tcW w:type="dxa" w:w="2736"/>
            <w:vAlign w:val="center"/>
          </w:tcPr>
          <w:p>
            <w:r/>
            <w:r>
              <w:rPr>
                <w:b w:val="0"/>
                <w:sz w:val="19"/>
              </w:rPr>
              <w:t>Market structure and instrument handling</w:t>
            </w:r>
          </w:p>
        </w:tc>
        <w:tc>
          <w:tcPr>
            <w:tcW w:type="dxa" w:w="4752"/>
            <w:vAlign w:val="center"/>
          </w:tcPr>
          <w:p>
            <w:r/>
            <w:r>
              <w:rPr>
                <w:b w:val="0"/>
                <w:sz w:val="19"/>
              </w:rPr>
              <w:t>Futures maturity roll logic, continuous futures series, contract-aware option alignment, volatility surface and skew awareness, liquidity-aware execution.</w:t>
            </w:r>
          </w:p>
        </w:tc>
        <w:tc>
          <w:tcPr>
            <w:tcW w:type="dxa" w:w="3024"/>
            <w:vAlign w:val="center"/>
          </w:tcPr>
          <w:p>
            <w:r/>
            <w:r>
              <w:rPr>
                <w:b w:val="0"/>
                <w:sz w:val="19"/>
              </w:rPr>
              <w:t>Prevents distorted signals during rolls and improves candidate quality for spreads and condors.</w:t>
            </w:r>
          </w:p>
        </w:tc>
      </w:tr>
      <w:tr>
        <w:tc>
          <w:tcPr>
            <w:tcW w:type="dxa" w:w="2736"/>
            <w:vAlign w:val="center"/>
          </w:tcPr>
          <w:p>
            <w:r/>
            <w:r>
              <w:rPr>
                <w:b w:val="0"/>
                <w:sz w:val="19"/>
              </w:rPr>
              <w:t>Signal and regime intelligence</w:t>
            </w:r>
          </w:p>
        </w:tc>
        <w:tc>
          <w:tcPr>
            <w:tcW w:type="dxa" w:w="4752"/>
            <w:vAlign w:val="center"/>
          </w:tcPr>
          <w:p>
            <w:r/>
            <w:r>
              <w:rPr>
                <w:b w:val="0"/>
                <w:sz w:val="19"/>
              </w:rPr>
              <w:t>Regime transition probability, volatility clustering, cross-asset risk-off context, event calendar gating.</w:t>
            </w:r>
          </w:p>
        </w:tc>
        <w:tc>
          <w:tcPr>
            <w:tcW w:type="dxa" w:w="3024"/>
            <w:vAlign w:val="center"/>
          </w:tcPr>
          <w:p>
            <w:r/>
            <w:r>
              <w:rPr>
                <w:b w:val="0"/>
                <w:sz w:val="19"/>
              </w:rPr>
              <w:t>Improves entry quality and reduces short-vol exposure ahead of regime breaks.</w:t>
            </w:r>
          </w:p>
        </w:tc>
      </w:tr>
      <w:tr>
        <w:tc>
          <w:tcPr>
            <w:tcW w:type="dxa" w:w="2736"/>
            <w:vAlign w:val="center"/>
          </w:tcPr>
          <w:p>
            <w:r/>
            <w:r>
              <w:rPr>
                <w:b w:val="0"/>
                <w:sz w:val="19"/>
              </w:rPr>
              <w:t>AI-advisory expansion</w:t>
            </w:r>
          </w:p>
        </w:tc>
        <w:tc>
          <w:tcPr>
            <w:tcW w:type="dxa" w:w="4752"/>
            <w:vAlign w:val="center"/>
          </w:tcPr>
          <w:p>
            <w:r/>
            <w:r>
              <w:rPr>
                <w:b w:val="0"/>
                <w:sz w:val="19"/>
              </w:rPr>
              <w:t>Semantic news risk analysis, bounded recommendation classes, abstain workflow, recommendation feedback loop.</w:t>
            </w:r>
          </w:p>
        </w:tc>
        <w:tc>
          <w:tcPr>
            <w:tcW w:type="dxa" w:w="3024"/>
            <w:vAlign w:val="center"/>
          </w:tcPr>
          <w:p>
            <w:r/>
            <w:r>
              <w:rPr>
                <w:b w:val="0"/>
                <w:sz w:val="19"/>
              </w:rPr>
              <w:t>Adds contextual judgment without allowing the agent to bypass deterministic controls.</w:t>
            </w:r>
          </w:p>
        </w:tc>
      </w:tr>
      <w:tr>
        <w:tc>
          <w:tcPr>
            <w:tcW w:type="dxa" w:w="2736"/>
            <w:vAlign w:val="center"/>
          </w:tcPr>
          <w:p>
            <w:r/>
            <w:r>
              <w:rPr>
                <w:b w:val="0"/>
                <w:sz w:val="19"/>
              </w:rPr>
              <w:t>Validation and research</w:t>
            </w:r>
          </w:p>
        </w:tc>
        <w:tc>
          <w:tcPr>
            <w:tcW w:type="dxa" w:w="4752"/>
            <w:vAlign w:val="center"/>
          </w:tcPr>
          <w:p>
            <w:r/>
            <w:r>
              <w:rPr>
                <w:b w:val="0"/>
                <w:sz w:val="19"/>
              </w:rPr>
              <w:t>Event-driven backtesting, deterministic replay, A/B tests, versioned strategy configs, parameter learning guardrails.</w:t>
            </w:r>
          </w:p>
        </w:tc>
        <w:tc>
          <w:tcPr>
            <w:tcW w:type="dxa" w:w="3024"/>
            <w:vAlign w:val="center"/>
          </w:tcPr>
          <w:p>
            <w:r/>
            <w:r>
              <w:rPr>
                <w:b w:val="0"/>
                <w:sz w:val="19"/>
              </w:rPr>
              <w:t>Creates a reliable environment for evaluating changes and preserving auditability.</w:t>
            </w:r>
          </w:p>
        </w:tc>
      </w:tr>
      <w:tr>
        <w:tc>
          <w:tcPr>
            <w:tcW w:type="dxa" w:w="2736"/>
            <w:vAlign w:val="center"/>
          </w:tcPr>
          <w:p>
            <w:r/>
            <w:r>
              <w:rPr>
                <w:b w:val="0"/>
                <w:sz w:val="19"/>
              </w:rPr>
              <w:t>Risk and portfolio controls</w:t>
            </w:r>
          </w:p>
        </w:tc>
        <w:tc>
          <w:tcPr>
            <w:tcW w:type="dxa" w:w="4752"/>
            <w:vAlign w:val="center"/>
          </w:tcPr>
          <w:p>
            <w:r/>
            <w:r>
              <w:rPr>
                <w:b w:val="0"/>
                <w:sz w:val="19"/>
              </w:rPr>
              <w:t>Scenario engine, portfolio optimization, regime-based capital allocation, execution-quality diagnostics.</w:t>
            </w:r>
          </w:p>
        </w:tc>
        <w:tc>
          <w:tcPr>
            <w:tcW w:type="dxa" w:w="3024"/>
            <w:vAlign w:val="center"/>
          </w:tcPr>
          <w:p>
            <w:r/>
            <w:r>
              <w:rPr>
                <w:b w:val="0"/>
                <w:sz w:val="19"/>
              </w:rPr>
              <w:t>Improves portfolio-level resilience and aligns exposure with market conditions.</w:t>
            </w:r>
          </w:p>
        </w:tc>
      </w:tr>
    </w:tbl>
    <w:p>
      <w:pPr/>
      <w:r>
        <w:t>Each enhancement is integrated as a bounded service or policy refinement rather than as an unconstrained feature. The preferred pattern is to express new intelligence as an observation, recommendation, or deterministic sub-calculation that can be logged, replayed, and disabled independently.</w:t>
      </w:r>
    </w:p>
    <w:p>
      <w:pPr>
        <w:pStyle w:val="Heading1"/>
      </w:pPr>
      <w:r>
        <w:t>3. Detailed enhancement specifications</w:t>
      </w:r>
    </w:p>
    <w:p>
      <w:pPr>
        <w:pStyle w:val="Heading2"/>
      </w:pPr>
      <w:r>
        <w:t>3.1 Futures maturity roll-over and instrument continuity</w:t>
      </w:r>
    </w:p>
    <w:p>
      <w:pPr>
        <w:pStyle w:val="ListBullet"/>
      </w:pPr>
      <w:r>
        <w:t>Implement dynamic roll criteria rather than a hard calendar date. Preferred triggers are contract volume crossover, open-interest crossover, or a configurable number of sessions before first notice / settlement windows where appropriate.</w:t>
      </w:r>
    </w:p>
    <w:p>
      <w:pPr>
        <w:pStyle w:val="ListBullet"/>
      </w:pPr>
      <w:r>
        <w:t>Build a continuous futures series for research and signal generation. Use back-adjusted or ratio-adjusted continuous contracts so ATR, EMA, ADX, intrinsic-time event density, and return-based diagnostics are not distorted by roll gaps.</w:t>
      </w:r>
    </w:p>
    <w:p>
      <w:pPr>
        <w:pStyle w:val="ListBullet"/>
      </w:pPr>
      <w:r>
        <w:t>Force option-chain alignment to the currently active futures contract during the roll window. Any candidate builder or backtester that mixes the wrong futures root with option chains should fail validation.</w:t>
      </w:r>
    </w:p>
    <w:p>
      <w:pPr>
        <w:pStyle w:val="ListBullet"/>
      </w:pPr>
      <w:r>
        <w:t>Add roll-state awareness to the market-state snapshot so the rule engine and agent can abstain or reduce aggressiveness when the system is inside a roll-transition band.</w:t>
      </w:r>
    </w:p>
    <w:p>
      <w:pPr>
        <w:pStyle w:val="Heading2"/>
      </w:pPr>
      <w:r>
        <w:t>3.2 Volatility surface and skew analytics</w:t>
      </w:r>
    </w:p>
    <w:p>
      <w:pPr>
        <w:pStyle w:val="ListBullet"/>
      </w:pPr>
      <w:r>
        <w:t>Add skew slope, smile curvature, and term-structure slope to the core market-state model. Condors and credit spreads should be evaluated with skew-aware wing placement and not just delta-based strike distances.</w:t>
      </w:r>
    </w:p>
    <w:p>
      <w:pPr>
        <w:pStyle w:val="ListBullet"/>
      </w:pPr>
      <w:r>
        <w:t>Expose surface summary tools through MCP as read-only snapshots; keep detailed candidate strike construction in the deterministic core.</w:t>
      </w:r>
    </w:p>
    <w:p>
      <w:pPr>
        <w:pStyle w:val="ListBullet"/>
      </w:pPr>
      <w:r>
        <w:t>Add an option-surface audit to backtests so each trade can be decomposed by skew regime and expiry-term structure.</w:t>
      </w:r>
    </w:p>
    <w:p>
      <w:pPr>
        <w:pStyle w:val="Heading2"/>
      </w:pPr>
      <w:r>
        <w:t>3.3 Liquidity-aware execution and slippage controls</w:t>
      </w:r>
    </w:p>
    <w:p>
      <w:pPr>
        <w:pStyle w:val="ListBullet"/>
      </w:pPr>
      <w:r>
        <w:t>Add time-of-day liquidity filters, market-depth estimates, quoted spread width, and expected slippage to both live candidate screening and backtests.</w:t>
      </w:r>
    </w:p>
    <w:p>
      <w:pPr>
        <w:pStyle w:val="ListBullet"/>
      </w:pPr>
      <w:r>
        <w:t>Execution router should support staged limit ladders, entry cancellation when slippage drifts past policy, and optional no-trade windows around scheduled macro releases.</w:t>
      </w:r>
    </w:p>
    <w:p>
      <w:pPr>
        <w:pStyle w:val="ListBullet"/>
      </w:pPr>
      <w:r>
        <w:t>Persist execution diagnostics as first-class metrics so the replay plant can compare theoretical and realized fills by structure type.</w:t>
      </w:r>
    </w:p>
    <w:p>
      <w:pPr>
        <w:pStyle w:val="Heading2"/>
      </w:pPr>
      <w:r>
        <w:t>3.4 Regime-transition probability and volatility clustering</w:t>
      </w:r>
    </w:p>
    <w:p>
      <w:pPr>
        <w:pStyle w:val="ListBullet"/>
      </w:pPr>
      <w:r>
        <w:t>Augment the current ADX/ATR/VIX stack with a transition-probability calculation that estimates range-to-trend and stable-vol-to-expanding-vol shift risk.</w:t>
      </w:r>
    </w:p>
    <w:p>
      <w:pPr>
        <w:pStyle w:val="ListBullet"/>
      </w:pPr>
      <w:r>
        <w:t>Use volatility clustering indicators to adjust both risk budgets and exit urgency. These indicators can be simple if they are stable and replayable.</w:t>
      </w:r>
    </w:p>
    <w:p>
      <w:pPr>
        <w:pStyle w:val="ListBullet"/>
      </w:pPr>
      <w:r>
        <w:t>Treat transition probability as a hard input into neutral short-vol eligibility. A high transition score should block condors even when spot regime filters still look benign.</w:t>
      </w:r>
    </w:p>
    <w:p>
      <w:pPr>
        <w:pStyle w:val="Heading2"/>
      </w:pPr>
      <w:r>
        <w:t>3.5 Cross-asset and event-context enhancements</w:t>
      </w:r>
    </w:p>
    <w:p>
      <w:pPr>
        <w:pStyle w:val="ListBullet"/>
      </w:pPr>
      <w:r>
        <w:t>Add optional cross-asset context from rates, dollar, credit, and volatility complex instruments. Use these as bounded risk modifiers, not trade generators.</w:t>
      </w:r>
    </w:p>
    <w:p>
      <w:pPr>
        <w:pStyle w:val="ListBullet"/>
      </w:pPr>
      <w:r>
        <w:t>Add event-calendar integration for FOMC, CPI, NFP, and other macro releases. The default rule should be no new short-vol entries inside configurable blackout windows unless deterministic policy explicitly allows them.</w:t>
      </w:r>
    </w:p>
    <w:p>
      <w:pPr>
        <w:pStyle w:val="Heading2"/>
      </w:pPr>
      <w:r>
        <w:t>3.6 Semantic analysis of news feeds</w:t>
      </w:r>
    </w:p>
    <w:p>
      <w:pPr>
        <w:pStyle w:val="ListBullet"/>
      </w:pPr>
      <w:r>
        <w:t>Use semantic/news analysis only as a risk modifier, veto signal, or shock trigger. News should not independently create entries.</w:t>
      </w:r>
    </w:p>
    <w:p>
      <w:pPr>
        <w:pStyle w:val="ListBullet"/>
      </w:pPr>
      <w:r>
        <w:t>Provide a dedicated MCP read tool such as GetNewsRiskSignal that returns severity, topic class, instrument relevance, and freshness. Recommendation workflows can cite it; the core still decides.</w:t>
      </w:r>
    </w:p>
    <w:p>
      <w:pPr>
        <w:pStyle w:val="ListBullet"/>
      </w:pPr>
      <w:r>
        <w:t>Add abstain and elevated-event-risk recommendation classes so the agent can recommend no trade or reduce/exit without needing execution authority.</w:t>
      </w:r>
    </w:p>
    <w:p>
      <w:pPr>
        <w:pStyle w:val="Heading2"/>
      </w:pPr>
      <w:r>
        <w:t>3.7 Learning from losing trades</w:t>
      </w:r>
    </w:p>
    <w:p>
      <w:pPr>
        <w:pStyle w:val="ListBullet"/>
      </w:pPr>
      <w:r>
        <w:t>Do not let reinforcement learning control trade selection or execution. Instead, constrain learning to parameter calibration, exit-threshold tuning, or ranking among deterministic candidates.</w:t>
      </w:r>
    </w:p>
    <w:p>
      <w:pPr>
        <w:pStyle w:val="ListBullet"/>
      </w:pPr>
      <w:r>
        <w:t>Prefer contextual bandits or Bayesian optimization before introducing RL. If RL is used, the output must remain a bounded parameter proposal that requires offline validation and controlled deployment.</w:t>
      </w:r>
    </w:p>
    <w:p>
      <w:pPr>
        <w:pStyle w:val="ListBullet"/>
      </w:pPr>
      <w:r>
        <w:t>Add a structured post-trade review store for losing trades, including regime state, recommendation path, rule-engine disposition, execution quality, and scenario-engine explanations.</w:t>
      </w:r>
    </w:p>
    <w:p>
      <w:pPr>
        <w:pStyle w:val="Heading1"/>
      </w:pPr>
      <w:r>
        <w:t>4. Deterministic control refinements</w:t>
      </w:r>
    </w:p>
    <w:p>
      <w:r>
        <w:t>The recommended implementation refinement is a Deterministic Intent Layer that sits between recommendation intake and order-generation logic. This layer converts a validated recommendation into a bounded TradeIntent such as EvaluateEntry(BullishCredit), EvaluateExit(PositionId), or Abstain(NoTrade).</w:t>
      </w:r>
    </w:p>
    <w:p>
      <w:r>
        <w:t>Only core services may produce or consume action subjects such as trade.action.enter.requested or trade.order.submitted. NATS account permissions should explicitly block OpenClaw and the MCP bridge from publishing to these namespaces.</w:t>
      </w:r>
    </w:p>
    <w:p>
      <w:r>
        <w:t>Enhancements introduced in this package should attach to one of four control classes: observations, recommendations, deterministic calculations, or execution actions. This classification prevents new features from quietly acquiring execution authority.</w:t>
      </w:r>
    </w:p>
    <w:tbl>
      <w:tblPr>
        <w:tblW w:type="auto" w:w="0"/>
        <w:jc w:val="center"/>
        <w:tblLayout w:type="fixed"/>
        <w:tblLook w:firstColumn="1" w:firstRow="1" w:lastColumn="0" w:lastRow="0" w:noHBand="0" w:noVBand="1" w:val="04A0"/>
      </w:tblPr>
      <w:tblGrid>
        <w:gridCol w:w="1728"/>
        <w:gridCol w:w="2592"/>
        <w:gridCol w:w="3168"/>
        <w:gridCol w:w="3312"/>
      </w:tblGrid>
      <w:tr>
        <w:trPr>
          <w:tblHeader w:val="true"/>
        </w:trPr>
        <w:tc>
          <w:tcPr>
            <w:tcW w:type="dxa" w:w="2484"/>
            <w:vAlign w:val="center"/>
            <w:shd w:fill="1F4E78"/>
          </w:tcPr>
          <w:p>
            <w:pPr>
              <w:jc w:val="center"/>
            </w:pPr>
            <w:r/>
            <w:r>
              <w:rPr>
                <w:b/>
                <w:color w:val="FFFFFF"/>
                <w:sz w:val="20"/>
              </w:rPr>
              <w:t>Class</w:t>
            </w:r>
          </w:p>
        </w:tc>
        <w:tc>
          <w:tcPr>
            <w:tcW w:type="dxa" w:w="2484"/>
            <w:vAlign w:val="center"/>
            <w:shd w:fill="1F4E78"/>
          </w:tcPr>
          <w:p>
            <w:pPr>
              <w:jc w:val="center"/>
            </w:pPr>
            <w:r/>
            <w:r>
              <w:rPr>
                <w:b/>
                <w:color w:val="FFFFFF"/>
                <w:sz w:val="20"/>
              </w:rPr>
              <w:t>Owner</w:t>
            </w:r>
          </w:p>
        </w:tc>
        <w:tc>
          <w:tcPr>
            <w:tcW w:type="dxa" w:w="2484"/>
            <w:vAlign w:val="center"/>
            <w:shd w:fill="1F4E78"/>
          </w:tcPr>
          <w:p>
            <w:pPr>
              <w:jc w:val="center"/>
            </w:pPr>
            <w:r/>
            <w:r>
              <w:rPr>
                <w:b/>
                <w:color w:val="FFFFFF"/>
                <w:sz w:val="20"/>
              </w:rPr>
              <w:t>Examples</w:t>
            </w:r>
          </w:p>
        </w:tc>
        <w:tc>
          <w:tcPr>
            <w:tcW w:type="dxa" w:w="2484"/>
            <w:vAlign w:val="center"/>
            <w:shd w:fill="1F4E78"/>
          </w:tcPr>
          <w:p>
            <w:pPr>
              <w:jc w:val="center"/>
            </w:pPr>
            <w:r/>
            <w:r>
              <w:rPr>
                <w:b/>
                <w:color w:val="FFFFFF"/>
                <w:sz w:val="20"/>
              </w:rPr>
              <w:t>Allowed effect</w:t>
            </w:r>
          </w:p>
        </w:tc>
      </w:tr>
      <w:tr>
        <w:tc>
          <w:tcPr>
            <w:tcW w:type="dxa" w:w="1728"/>
            <w:vAlign w:val="center"/>
          </w:tcPr>
          <w:p>
            <w:r/>
            <w:r>
              <w:rPr>
                <w:b w:val="0"/>
                <w:sz w:val="18"/>
              </w:rPr>
              <w:t>0</w:t>
            </w:r>
          </w:p>
        </w:tc>
        <w:tc>
          <w:tcPr>
            <w:tcW w:type="dxa" w:w="2592"/>
            <w:vAlign w:val="center"/>
          </w:tcPr>
          <w:p>
            <w:r/>
            <w:r>
              <w:rPr>
                <w:b w:val="0"/>
                <w:sz w:val="18"/>
              </w:rPr>
              <w:t>Agent / MCP</w:t>
            </w:r>
          </w:p>
        </w:tc>
        <w:tc>
          <w:tcPr>
            <w:tcW w:type="dxa" w:w="3168"/>
            <w:vAlign w:val="center"/>
          </w:tcPr>
          <w:p>
            <w:r/>
            <w:r>
              <w:rPr>
                <w:b w:val="0"/>
                <w:sz w:val="18"/>
              </w:rPr>
              <w:t>News risk notes, event flags, regime commentary</w:t>
            </w:r>
          </w:p>
        </w:tc>
        <w:tc>
          <w:tcPr>
            <w:tcW w:type="dxa" w:w="3312"/>
            <w:vAlign w:val="center"/>
          </w:tcPr>
          <w:p>
            <w:r/>
            <w:r>
              <w:rPr>
                <w:b w:val="0"/>
                <w:sz w:val="18"/>
              </w:rPr>
              <w:t>No direct trade effect; informational only</w:t>
            </w:r>
          </w:p>
        </w:tc>
      </w:tr>
      <w:tr>
        <w:tc>
          <w:tcPr>
            <w:tcW w:type="dxa" w:w="1728"/>
            <w:vAlign w:val="center"/>
          </w:tcPr>
          <w:p>
            <w:r/>
            <w:r>
              <w:rPr>
                <w:b w:val="0"/>
                <w:sz w:val="18"/>
              </w:rPr>
              <w:t>1</w:t>
            </w:r>
          </w:p>
        </w:tc>
        <w:tc>
          <w:tcPr>
            <w:tcW w:type="dxa" w:w="2592"/>
            <w:vAlign w:val="center"/>
          </w:tcPr>
          <w:p>
            <w:r/>
            <w:r>
              <w:rPr>
                <w:b w:val="0"/>
                <w:sz w:val="18"/>
              </w:rPr>
              <w:t>Agent / MCP</w:t>
            </w:r>
          </w:p>
        </w:tc>
        <w:tc>
          <w:tcPr>
            <w:tcW w:type="dxa" w:w="3168"/>
            <w:vAlign w:val="center"/>
          </w:tcPr>
          <w:p>
            <w:r/>
            <w:r>
              <w:rPr>
                <w:b w:val="0"/>
                <w:sz w:val="18"/>
              </w:rPr>
              <w:t>TradeRecommendation, ExitRecommendation, NoTradeRecommendation</w:t>
            </w:r>
          </w:p>
        </w:tc>
        <w:tc>
          <w:tcPr>
            <w:tcW w:type="dxa" w:w="3312"/>
            <w:vAlign w:val="center"/>
          </w:tcPr>
          <w:p>
            <w:r/>
            <w:r>
              <w:rPr>
                <w:b w:val="0"/>
                <w:sz w:val="18"/>
              </w:rPr>
              <w:t>Advisory only; enters firewall + rule evaluation</w:t>
            </w:r>
          </w:p>
        </w:tc>
      </w:tr>
      <w:tr>
        <w:tc>
          <w:tcPr>
            <w:tcW w:type="dxa" w:w="1728"/>
            <w:vAlign w:val="center"/>
          </w:tcPr>
          <w:p>
            <w:r/>
            <w:r>
              <w:rPr>
                <w:b w:val="0"/>
                <w:sz w:val="18"/>
              </w:rPr>
              <w:t>2</w:t>
            </w:r>
          </w:p>
        </w:tc>
        <w:tc>
          <w:tcPr>
            <w:tcW w:type="dxa" w:w="2592"/>
            <w:vAlign w:val="center"/>
          </w:tcPr>
          <w:p>
            <w:r/>
            <w:r>
              <w:rPr>
                <w:b w:val="0"/>
                <w:sz w:val="18"/>
              </w:rPr>
              <w:t>Core trading</w:t>
            </w:r>
          </w:p>
        </w:tc>
        <w:tc>
          <w:tcPr>
            <w:tcW w:type="dxa" w:w="3168"/>
            <w:vAlign w:val="center"/>
          </w:tcPr>
          <w:p>
            <w:r/>
            <w:r>
              <w:rPr>
                <w:b w:val="0"/>
                <w:sz w:val="18"/>
              </w:rPr>
              <w:t>TradeIntent, candidate generation, scenario pricing, risk checks</w:t>
            </w:r>
          </w:p>
        </w:tc>
        <w:tc>
          <w:tcPr>
            <w:tcW w:type="dxa" w:w="3312"/>
            <w:vAlign w:val="center"/>
          </w:tcPr>
          <w:p>
            <w:r/>
            <w:r>
              <w:rPr>
                <w:b w:val="0"/>
                <w:sz w:val="18"/>
              </w:rPr>
              <w:t>Can approve, reject, or substitute within policy</w:t>
            </w:r>
          </w:p>
        </w:tc>
      </w:tr>
      <w:tr>
        <w:tc>
          <w:tcPr>
            <w:tcW w:type="dxa" w:w="1728"/>
            <w:vAlign w:val="center"/>
          </w:tcPr>
          <w:p>
            <w:r/>
            <w:r>
              <w:rPr>
                <w:b w:val="0"/>
                <w:sz w:val="18"/>
              </w:rPr>
              <w:t>3</w:t>
            </w:r>
          </w:p>
        </w:tc>
        <w:tc>
          <w:tcPr>
            <w:tcW w:type="dxa" w:w="2592"/>
            <w:vAlign w:val="center"/>
          </w:tcPr>
          <w:p>
            <w:r/>
            <w:r>
              <w:rPr>
                <w:b w:val="0"/>
                <w:sz w:val="18"/>
              </w:rPr>
              <w:t>Core trading</w:t>
            </w:r>
          </w:p>
        </w:tc>
        <w:tc>
          <w:tcPr>
            <w:tcW w:type="dxa" w:w="3168"/>
            <w:vAlign w:val="center"/>
          </w:tcPr>
          <w:p>
            <w:r/>
            <w:r>
              <w:rPr>
                <w:b w:val="0"/>
                <w:sz w:val="18"/>
              </w:rPr>
              <w:t>EnterPositionCommand, ExitPositionCommand, order messages</w:t>
            </w:r>
          </w:p>
        </w:tc>
        <w:tc>
          <w:tcPr>
            <w:tcW w:type="dxa" w:w="3312"/>
            <w:vAlign w:val="center"/>
          </w:tcPr>
          <w:p>
            <w:r/>
            <w:r>
              <w:rPr>
                <w:b w:val="0"/>
                <w:sz w:val="18"/>
              </w:rPr>
              <w:t>Only path that can touch OMS / execution</w:t>
            </w:r>
          </w:p>
        </w:tc>
      </w:tr>
    </w:tbl>
    <w:p>
      <w:pPr/>
      <w:r>
        <w:t>Recommendation substitution should be explicit. For example, the agent can recommend BullishCredit, but the core may substitute NoTrade or a smaller debit spread if backwardation, scenario losses, or portfolio limits invalidate the original family.</w:t>
      </w:r>
    </w:p>
    <w:p>
      <w:pPr>
        <w:pStyle w:val="Heading1"/>
      </w:pPr>
      <w:r>
        <w:t>5. Phased implementation roadmap</w:t>
      </w:r>
    </w:p>
    <w:tbl>
      <w:tblPr>
        <w:tblW w:type="auto" w:w="0"/>
        <w:jc w:val="center"/>
        <w:tblLayout w:type="fixed"/>
        <w:tblLook w:firstColumn="1" w:firstRow="1" w:lastColumn="0" w:lastRow="0" w:noHBand="0" w:noVBand="1" w:val="04A0"/>
      </w:tblPr>
      <w:tblGrid>
        <w:gridCol w:w="2736"/>
        <w:gridCol w:w="3888"/>
        <w:gridCol w:w="4176"/>
      </w:tblGrid>
      <w:tr>
        <w:trPr>
          <w:tblHeader w:val="true"/>
        </w:trPr>
        <w:tc>
          <w:tcPr>
            <w:tcW w:type="dxa" w:w="3312"/>
            <w:vAlign w:val="center"/>
            <w:shd w:fill="1F4E78"/>
          </w:tcPr>
          <w:p>
            <w:pPr>
              <w:jc w:val="center"/>
            </w:pPr>
            <w:r/>
            <w:r>
              <w:rPr>
                <w:b/>
                <w:color w:val="FFFFFF"/>
                <w:sz w:val="20"/>
              </w:rPr>
              <w:t>Phase</w:t>
            </w:r>
          </w:p>
        </w:tc>
        <w:tc>
          <w:tcPr>
            <w:tcW w:type="dxa" w:w="3312"/>
            <w:vAlign w:val="center"/>
            <w:shd w:fill="1F4E78"/>
          </w:tcPr>
          <w:p>
            <w:pPr>
              <w:jc w:val="center"/>
            </w:pPr>
            <w:r/>
            <w:r>
              <w:rPr>
                <w:b/>
                <w:color w:val="FFFFFF"/>
                <w:sz w:val="20"/>
              </w:rPr>
              <w:t>Implementation tasks</w:t>
            </w:r>
          </w:p>
        </w:tc>
        <w:tc>
          <w:tcPr>
            <w:tcW w:type="dxa" w:w="3312"/>
            <w:vAlign w:val="center"/>
            <w:shd w:fill="1F4E78"/>
          </w:tcPr>
          <w:p>
            <w:pPr>
              <w:jc w:val="center"/>
            </w:pPr>
            <w:r/>
            <w:r>
              <w:rPr>
                <w:b/>
                <w:color w:val="FFFFFF"/>
                <w:sz w:val="20"/>
              </w:rPr>
              <w:t>Primary modules</w:t>
            </w:r>
          </w:p>
        </w:tc>
      </w:tr>
      <w:tr>
        <w:tc>
          <w:tcPr>
            <w:tcW w:type="dxa" w:w="2736"/>
            <w:vAlign w:val="center"/>
          </w:tcPr>
          <w:p>
            <w:r/>
            <w:r>
              <w:rPr>
                <w:b w:val="0"/>
                <w:sz w:val="18"/>
              </w:rPr>
              <w:t>Phase 0 — foundations and controls</w:t>
            </w:r>
          </w:p>
        </w:tc>
        <w:tc>
          <w:tcPr>
            <w:tcW w:type="dxa" w:w="3888"/>
            <w:vAlign w:val="center"/>
          </w:tcPr>
          <w:p>
            <w:r/>
            <w:r>
              <w:rPr>
                <w:b w:val="0"/>
                <w:sz w:val="18"/>
              </w:rPr>
              <w:t>Establish message schemas, subject permissions, policy firewall, deterministic intent layer, and recommendation audit trail.</w:t>
            </w:r>
          </w:p>
        </w:tc>
        <w:tc>
          <w:tcPr>
            <w:tcW w:type="dxa" w:w="4176"/>
            <w:vAlign w:val="center"/>
          </w:tcPr>
          <w:p>
            <w:r/>
            <w:r>
              <w:rPr>
                <w:b w:val="0"/>
                <w:sz w:val="18"/>
              </w:rPr>
              <w:t>Trading.Contracts, RecommendationPolicyFirewall, DeterministicIntentService, AuditLedger.</w:t>
            </w:r>
          </w:p>
        </w:tc>
      </w:tr>
      <w:tr>
        <w:tc>
          <w:tcPr>
            <w:tcW w:type="dxa" w:w="2736"/>
            <w:vAlign w:val="center"/>
          </w:tcPr>
          <w:p>
            <w:r/>
            <w:r>
              <w:rPr>
                <w:b w:val="0"/>
                <w:sz w:val="18"/>
              </w:rPr>
              <w:t>Phase 1 — market realism</w:t>
            </w:r>
          </w:p>
        </w:tc>
        <w:tc>
          <w:tcPr>
            <w:tcW w:type="dxa" w:w="3888"/>
            <w:vAlign w:val="center"/>
          </w:tcPr>
          <w:p>
            <w:r/>
            <w:r>
              <w:rPr>
                <w:b w:val="0"/>
                <w:sz w:val="18"/>
              </w:rPr>
              <w:t>Add futures roll service, continuous-series builder, option-surface summaries, liquidity diagnostics, and event-calendar service.</w:t>
            </w:r>
          </w:p>
        </w:tc>
        <w:tc>
          <w:tcPr>
            <w:tcW w:type="dxa" w:w="4176"/>
            <w:vAlign w:val="center"/>
          </w:tcPr>
          <w:p>
            <w:r/>
            <w:r>
              <w:rPr>
                <w:b w:val="0"/>
                <w:sz w:val="18"/>
              </w:rPr>
              <w:t>MarketData.Roll, SurfaceAnalytics, LiquidityService, EventCalendarService.</w:t>
            </w:r>
          </w:p>
        </w:tc>
      </w:tr>
      <w:tr>
        <w:tc>
          <w:tcPr>
            <w:tcW w:type="dxa" w:w="2736"/>
            <w:vAlign w:val="center"/>
          </w:tcPr>
          <w:p>
            <w:r/>
            <w:r>
              <w:rPr>
                <w:b w:val="0"/>
                <w:sz w:val="18"/>
              </w:rPr>
              <w:t>Phase 2 — strategy and risk extensions</w:t>
            </w:r>
          </w:p>
        </w:tc>
        <w:tc>
          <w:tcPr>
            <w:tcW w:type="dxa" w:w="3888"/>
            <w:vAlign w:val="center"/>
          </w:tcPr>
          <w:p>
            <w:r/>
            <w:r>
              <w:rPr>
                <w:b w:val="0"/>
                <w:sz w:val="18"/>
              </w:rPr>
              <w:t>Integrate transition probability, volatility clustering, scenario engine, and regime-based allocation controls.</w:t>
            </w:r>
          </w:p>
        </w:tc>
        <w:tc>
          <w:tcPr>
            <w:tcW w:type="dxa" w:w="4176"/>
            <w:vAlign w:val="center"/>
          </w:tcPr>
          <w:p>
            <w:r/>
            <w:r>
              <w:rPr>
                <w:b w:val="0"/>
                <w:sz w:val="18"/>
              </w:rPr>
              <w:t>RegimeEngine, ScenarioEngine, PortfolioAllocator, RiskEngine extensions.</w:t>
            </w:r>
          </w:p>
        </w:tc>
      </w:tr>
      <w:tr>
        <w:tc>
          <w:tcPr>
            <w:tcW w:type="dxa" w:w="2736"/>
            <w:vAlign w:val="center"/>
          </w:tcPr>
          <w:p>
            <w:r/>
            <w:r>
              <w:rPr>
                <w:b w:val="0"/>
                <w:sz w:val="18"/>
              </w:rPr>
              <w:t>Phase 3 — agentic enhancements</w:t>
            </w:r>
          </w:p>
        </w:tc>
        <w:tc>
          <w:tcPr>
            <w:tcW w:type="dxa" w:w="3888"/>
            <w:vAlign w:val="center"/>
          </w:tcPr>
          <w:p>
            <w:r/>
            <w:r>
              <w:rPr>
                <w:b w:val="0"/>
                <w:sz w:val="18"/>
              </w:rPr>
              <w:t>Expose new MCP read tools, add news-risk workflow, abstain path, and recommendation feedback loop; keep exact trade construction inside core.</w:t>
            </w:r>
          </w:p>
        </w:tc>
        <w:tc>
          <w:tcPr>
            <w:tcW w:type="dxa" w:w="4176"/>
            <w:vAlign w:val="center"/>
          </w:tcPr>
          <w:p>
            <w:r/>
            <w:r>
              <w:rPr>
                <w:b w:val="0"/>
                <w:sz w:val="18"/>
              </w:rPr>
              <w:t>Trading.Agent.Mcp, OpenClaw workflow pack, RecommendationFeedbackPublisher.</w:t>
            </w:r>
          </w:p>
        </w:tc>
      </w:tr>
      <w:tr>
        <w:tc>
          <w:tcPr>
            <w:tcW w:type="dxa" w:w="2736"/>
            <w:vAlign w:val="center"/>
          </w:tcPr>
          <w:p>
            <w:r/>
            <w:r>
              <w:rPr>
                <w:b w:val="0"/>
                <w:sz w:val="18"/>
              </w:rPr>
              <w:t>Phase 4 — validation stack</w:t>
            </w:r>
          </w:p>
        </w:tc>
        <w:tc>
          <w:tcPr>
            <w:tcW w:type="dxa" w:w="3888"/>
            <w:vAlign w:val="center"/>
          </w:tcPr>
          <w:p>
            <w:r/>
            <w:r>
              <w:rPr>
                <w:b w:val="0"/>
                <w:sz w:val="18"/>
              </w:rPr>
              <w:t>Deliver event-driven backtester, deterministic replayer, A/B testing harness, and versioned config registry.</w:t>
            </w:r>
          </w:p>
        </w:tc>
        <w:tc>
          <w:tcPr>
            <w:tcW w:type="dxa" w:w="4176"/>
            <w:vAlign w:val="center"/>
          </w:tcPr>
          <w:p>
            <w:r/>
            <w:r>
              <w:rPr>
                <w:b w:val="0"/>
                <w:sz w:val="18"/>
              </w:rPr>
              <w:t>Trading.Backtesting, Trading.Replay, ConfigRegistry, ExperimentService.</w:t>
            </w:r>
          </w:p>
        </w:tc>
      </w:tr>
      <w:tr>
        <w:tc>
          <w:tcPr>
            <w:tcW w:type="dxa" w:w="2736"/>
            <w:vAlign w:val="center"/>
          </w:tcPr>
          <w:p>
            <w:r/>
            <w:r>
              <w:rPr>
                <w:b w:val="0"/>
                <w:sz w:val="18"/>
              </w:rPr>
              <w:t>Phase 5 — controlled learning</w:t>
            </w:r>
          </w:p>
        </w:tc>
        <w:tc>
          <w:tcPr>
            <w:tcW w:type="dxa" w:w="3888"/>
            <w:vAlign w:val="center"/>
          </w:tcPr>
          <w:p>
            <w:r/>
            <w:r>
              <w:rPr>
                <w:b w:val="0"/>
                <w:sz w:val="18"/>
              </w:rPr>
              <w:t>Add bounded parameter-learning workflows for exit tuning or candidate ranking; require offline validation and gated release.</w:t>
            </w:r>
          </w:p>
        </w:tc>
        <w:tc>
          <w:tcPr>
            <w:tcW w:type="dxa" w:w="4176"/>
            <w:vAlign w:val="center"/>
          </w:tcPr>
          <w:p>
            <w:r/>
            <w:r>
              <w:rPr>
                <w:b w:val="0"/>
                <w:sz w:val="18"/>
              </w:rPr>
              <w:t>LearningLab, BanditTuner, StrategyReview notebooks / services.</w:t>
            </w:r>
          </w:p>
        </w:tc>
      </w:tr>
    </w:tbl>
    <w:p>
      <w:pPr/>
      <w:r>
        <w:t>Phase gates should require replay-based validation before promotion. No feature should reach live routing unless it can be replayed deterministically with an exact config/version fingerprint.</w:t>
      </w:r>
    </w:p>
    <w:p>
      <w:pPr>
        <w:pStyle w:val="Heading1"/>
      </w:pPr>
      <w:r>
        <w:t>6. Code modules and service boundaries</w:t>
      </w:r>
    </w:p>
    <w:p>
      <w:pPr>
        <w:pStyle w:val="ListBullet"/>
      </w:pPr>
      <w:r>
        <w:t>Trading.Contracts — shared DTOs, NATS subject constants, recommendation envelopes, trade-intent contracts, and audit schemas.</w:t>
      </w:r>
    </w:p>
    <w:p>
      <w:pPr>
        <w:pStyle w:val="ListBullet"/>
      </w:pPr>
      <w:r>
        <w:t>Trading.Domain — core value objects and policy enums: signal classes, volatility regimes, strategy families, roll state, event blackout state, and deterministic action classes.</w:t>
      </w:r>
    </w:p>
    <w:p>
      <w:pPr>
        <w:pStyle w:val="ListBullet"/>
      </w:pPr>
      <w:r>
        <w:t>Trading.Application — rule engine, candidate builder, deterministic intent service, portfolio and risk orchestrations.</w:t>
      </w:r>
    </w:p>
    <w:p>
      <w:pPr>
        <w:pStyle w:val="ListBullet"/>
      </w:pPr>
      <w:r>
        <w:t>Trading.Infrastructure — NATS adapters, JetStream stores, OMS/execution adapters, market-data and calendar clients, GPU-pricer integration, and continuous-series builders.</w:t>
      </w:r>
    </w:p>
    <w:p>
      <w:pPr>
        <w:pStyle w:val="ListBullet"/>
      </w:pPr>
      <w:r>
        <w:t>Trading.Agent.Mcp — typed MCP tool contracts and response models for market, portfolio, risk, news, and recommendation publication tools.</w:t>
      </w:r>
    </w:p>
    <w:p>
      <w:pPr>
        <w:pStyle w:val="ListBullet"/>
      </w:pPr>
      <w:r>
        <w:t>Trading.Backtesting — event-driven simulator, scenario pricing adapters, slippage model, synthetic clock, and experiment runner.</w:t>
      </w:r>
    </w:p>
    <w:p>
      <w:pPr>
        <w:pStyle w:val="ListBullet"/>
      </w:pPr>
      <w:r>
        <w:t>Trading.Replay — JetStream replay coordinator, deterministic message republisher, position/state reconstruction, and trace export.</w:t>
      </w:r>
    </w:p>
    <w:p>
      <w:pPr>
        <w:pStyle w:val="ListBullet"/>
      </w:pPr>
      <w:r>
        <w:t>Trading.Observability — correlation-id tracing, metrics, alerting hooks, and audit exporters.</w:t>
      </w:r>
    </w:p>
    <w:p>
      <w:pPr>
        <w:pStyle w:val="Heading1"/>
      </w:pPr>
      <w:r>
        <w:t>7. Backtesting and replay system design</w:t>
      </w:r>
    </w:p>
    <w:p>
      <w:r>
        <w:t>The backtesting plant should be event-driven rather than candle-driven. It must simulate intrinsic-time signal emission, webhook/agent workflow effects, recommendation ingestion, deterministic intent creation, candidate generation, risk approval, execution latency, slippage, fills, and position updates. This ensures architectural fidelity between research and production.</w:t>
      </w:r>
    </w:p>
    <w:p>
      <w:r>
        <w:t>The replay plant should be JetStream-backed and capable of republishing recorded signals, recommendations, dispositions, intents, orders, and fills over isolated replay subjects. Consumers in replay mode must rebuild portfolio state from the event stream rather than reading mutable production state directly.</w:t>
      </w:r>
    </w:p>
    <w:p>
      <w:r>
        <w:t>Every replay run should produce a machine-readable report that includes versioned configs, stream offsets used, seed values for randomized components, latency assumptions, and a summary of divergences between expected and replayed outcomes.</w:t>
      </w:r>
    </w:p>
    <w:tbl>
      <w:tblPr>
        <w:tblW w:type="auto" w:w="0"/>
        <w:jc w:val="center"/>
        <w:tblLayout w:type="fixed"/>
        <w:tblLook w:firstColumn="1" w:firstRow="1" w:lastColumn="0" w:lastRow="0" w:noHBand="0" w:noVBand="1" w:val="04A0"/>
      </w:tblPr>
      <w:tblGrid>
        <w:gridCol w:w="2880"/>
        <w:gridCol w:w="3456"/>
        <w:gridCol w:w="4464"/>
      </w:tblGrid>
      <w:tr>
        <w:trPr>
          <w:tblHeader w:val="true"/>
        </w:trPr>
        <w:tc>
          <w:tcPr>
            <w:tcW w:type="dxa" w:w="3312"/>
            <w:vAlign w:val="center"/>
            <w:shd w:fill="1F4E78"/>
          </w:tcPr>
          <w:p>
            <w:pPr>
              <w:jc w:val="center"/>
            </w:pPr>
            <w:r/>
            <w:r>
              <w:rPr>
                <w:b/>
                <w:color w:val="FFFFFF"/>
                <w:sz w:val="20"/>
              </w:rPr>
              <w:t>Component</w:t>
            </w:r>
          </w:p>
        </w:tc>
        <w:tc>
          <w:tcPr>
            <w:tcW w:type="dxa" w:w="3312"/>
            <w:vAlign w:val="center"/>
            <w:shd w:fill="1F4E78"/>
          </w:tcPr>
          <w:p>
            <w:pPr>
              <w:jc w:val="center"/>
            </w:pPr>
            <w:r/>
            <w:r>
              <w:rPr>
                <w:b/>
                <w:color w:val="FFFFFF"/>
                <w:sz w:val="20"/>
              </w:rPr>
              <w:t>Responsibility</w:t>
            </w:r>
          </w:p>
        </w:tc>
        <w:tc>
          <w:tcPr>
            <w:tcW w:type="dxa" w:w="3312"/>
            <w:vAlign w:val="center"/>
            <w:shd w:fill="1F4E78"/>
          </w:tcPr>
          <w:p>
            <w:pPr>
              <w:jc w:val="center"/>
            </w:pPr>
            <w:r/>
            <w:r>
              <w:rPr>
                <w:b/>
                <w:color w:val="FFFFFF"/>
                <w:sz w:val="20"/>
              </w:rPr>
              <w:t>Notes</w:t>
            </w:r>
          </w:p>
        </w:tc>
      </w:tr>
      <w:tr>
        <w:tc>
          <w:tcPr>
            <w:tcW w:type="dxa" w:w="2880"/>
            <w:vAlign w:val="center"/>
          </w:tcPr>
          <w:p>
            <w:r/>
            <w:r>
              <w:rPr>
                <w:b w:val="0"/>
                <w:sz w:val="18"/>
              </w:rPr>
              <w:t>EventDrivenBacktester</w:t>
            </w:r>
          </w:p>
        </w:tc>
        <w:tc>
          <w:tcPr>
            <w:tcW w:type="dxa" w:w="3456"/>
            <w:vAlign w:val="center"/>
          </w:tcPr>
          <w:p>
            <w:r/>
            <w:r>
              <w:rPr>
                <w:b w:val="0"/>
                <w:sz w:val="18"/>
              </w:rPr>
              <w:t>Replays signals through the same message contracts used live.</w:t>
            </w:r>
          </w:p>
        </w:tc>
        <w:tc>
          <w:tcPr>
            <w:tcW w:type="dxa" w:w="4464"/>
            <w:vAlign w:val="center"/>
          </w:tcPr>
          <w:p>
            <w:r/>
            <w:r>
              <w:rPr>
                <w:b w:val="0"/>
                <w:sz w:val="18"/>
              </w:rPr>
              <w:t>Must support synthetic time, deterministic ordering, and configurable latency/slippage hooks.</w:t>
            </w:r>
          </w:p>
        </w:tc>
      </w:tr>
      <w:tr>
        <w:tc>
          <w:tcPr>
            <w:tcW w:type="dxa" w:w="2880"/>
            <w:vAlign w:val="center"/>
          </w:tcPr>
          <w:p>
            <w:r/>
            <w:r>
              <w:rPr>
                <w:b w:val="0"/>
                <w:sz w:val="18"/>
              </w:rPr>
              <w:t>StateReconstructor</w:t>
            </w:r>
          </w:p>
        </w:tc>
        <w:tc>
          <w:tcPr>
            <w:tcW w:type="dxa" w:w="3456"/>
            <w:vAlign w:val="center"/>
          </w:tcPr>
          <w:p>
            <w:r/>
            <w:r>
              <w:rPr>
                <w:b w:val="0"/>
                <w:sz w:val="18"/>
              </w:rPr>
              <w:t>Rebuilds positions, portfolio Greeks, and recommendation history from streams.</w:t>
            </w:r>
          </w:p>
        </w:tc>
        <w:tc>
          <w:tcPr>
            <w:tcW w:type="dxa" w:w="4464"/>
            <w:vAlign w:val="center"/>
          </w:tcPr>
          <w:p>
            <w:r/>
            <w:r>
              <w:rPr>
                <w:b w:val="0"/>
                <w:sz w:val="18"/>
              </w:rPr>
              <w:t>Used by replay, audit, and post-mortem analysis.</w:t>
            </w:r>
          </w:p>
        </w:tc>
      </w:tr>
      <w:tr>
        <w:tc>
          <w:tcPr>
            <w:tcW w:type="dxa" w:w="2880"/>
            <w:vAlign w:val="center"/>
          </w:tcPr>
          <w:p>
            <w:r/>
            <w:r>
              <w:rPr>
                <w:b w:val="0"/>
                <w:sz w:val="18"/>
              </w:rPr>
              <w:t>ScenarioEngine</w:t>
            </w:r>
          </w:p>
        </w:tc>
        <w:tc>
          <w:tcPr>
            <w:tcW w:type="dxa" w:w="3456"/>
            <w:vAlign w:val="center"/>
          </w:tcPr>
          <w:p>
            <w:r/>
            <w:r>
              <w:rPr>
                <w:b w:val="0"/>
                <w:sz w:val="18"/>
              </w:rPr>
              <w:t>Applies gap, vol-spike, skew-shift, and liquidity-collapse shocks to candidates and open positions.</w:t>
            </w:r>
          </w:p>
        </w:tc>
        <w:tc>
          <w:tcPr>
            <w:tcW w:type="dxa" w:w="4464"/>
            <w:vAlign w:val="center"/>
          </w:tcPr>
          <w:p>
            <w:r/>
            <w:r>
              <w:rPr>
                <w:b w:val="0"/>
                <w:sz w:val="18"/>
              </w:rPr>
              <w:t>Should reuse GPU pricer contracts where available.</w:t>
            </w:r>
          </w:p>
        </w:tc>
      </w:tr>
      <w:tr>
        <w:tc>
          <w:tcPr>
            <w:tcW w:type="dxa" w:w="2880"/>
            <w:vAlign w:val="center"/>
          </w:tcPr>
          <w:p>
            <w:r/>
            <w:r>
              <w:rPr>
                <w:b w:val="0"/>
                <w:sz w:val="18"/>
              </w:rPr>
              <w:t>ExperimentRunner</w:t>
            </w:r>
          </w:p>
        </w:tc>
        <w:tc>
          <w:tcPr>
            <w:tcW w:type="dxa" w:w="3456"/>
            <w:vAlign w:val="center"/>
          </w:tcPr>
          <w:p>
            <w:r/>
            <w:r>
              <w:rPr>
                <w:b w:val="0"/>
                <w:sz w:val="18"/>
              </w:rPr>
              <w:t>Runs A/B tests across strategy versions, recommendation workflows, and policy changes.</w:t>
            </w:r>
          </w:p>
        </w:tc>
        <w:tc>
          <w:tcPr>
            <w:tcW w:type="dxa" w:w="4464"/>
            <w:vAlign w:val="center"/>
          </w:tcPr>
          <w:p>
            <w:r/>
            <w:r>
              <w:rPr>
                <w:b w:val="0"/>
                <w:sz w:val="18"/>
              </w:rPr>
              <w:t>Output should be segmented by regime, roll state, and event-risk windows.</w:t>
            </w:r>
          </w:p>
        </w:tc>
      </w:tr>
      <w:tr>
        <w:tc>
          <w:tcPr>
            <w:tcW w:type="dxa" w:w="2880"/>
            <w:vAlign w:val="center"/>
          </w:tcPr>
          <w:p>
            <w:r/>
            <w:r>
              <w:rPr>
                <w:b w:val="0"/>
                <w:sz w:val="18"/>
              </w:rPr>
              <w:t>ReplayCoordinator</w:t>
            </w:r>
          </w:p>
        </w:tc>
        <w:tc>
          <w:tcPr>
            <w:tcW w:type="dxa" w:w="3456"/>
            <w:vAlign w:val="center"/>
          </w:tcPr>
          <w:p>
            <w:r/>
            <w:r>
              <w:rPr>
                <w:b w:val="0"/>
                <w:sz w:val="18"/>
              </w:rPr>
              <w:t>Selects stream ranges and republishes them on replay subjects.</w:t>
            </w:r>
          </w:p>
        </w:tc>
        <w:tc>
          <w:tcPr>
            <w:tcW w:type="dxa" w:w="4464"/>
            <w:vAlign w:val="center"/>
          </w:tcPr>
          <w:p>
            <w:r/>
            <w:r>
              <w:rPr>
                <w:b w:val="0"/>
                <w:sz w:val="18"/>
              </w:rPr>
              <w:t>Supports deterministic replayer and regression tests for services.</w:t>
            </w:r>
          </w:p>
        </w:tc>
      </w:tr>
      <w:tr>
        <w:tc>
          <w:tcPr>
            <w:tcW w:type="dxa" w:w="2880"/>
            <w:vAlign w:val="center"/>
          </w:tcPr>
          <w:p>
            <w:r/>
            <w:r>
              <w:rPr>
                <w:b w:val="0"/>
                <w:sz w:val="18"/>
              </w:rPr>
              <w:t>ExecutionModel</w:t>
            </w:r>
          </w:p>
        </w:tc>
        <w:tc>
          <w:tcPr>
            <w:tcW w:type="dxa" w:w="3456"/>
            <w:vAlign w:val="center"/>
          </w:tcPr>
          <w:p>
            <w:r/>
            <w:r>
              <w:rPr>
                <w:b w:val="0"/>
                <w:sz w:val="18"/>
              </w:rPr>
              <w:t>Simulates spread, partial fills, queue delay, and time-of-day liquidity.</w:t>
            </w:r>
          </w:p>
        </w:tc>
        <w:tc>
          <w:tcPr>
            <w:tcW w:type="dxa" w:w="4464"/>
            <w:vAlign w:val="center"/>
          </w:tcPr>
          <w:p>
            <w:r/>
            <w:r>
              <w:rPr>
                <w:b w:val="0"/>
                <w:sz w:val="18"/>
              </w:rPr>
              <w:t>Required for realistic options strategy evaluation.</w:t>
            </w:r>
          </w:p>
        </w:tc>
      </w:tr>
      <w:tr>
        <w:tc>
          <w:tcPr>
            <w:tcW w:type="dxa" w:w="2880"/>
            <w:vAlign w:val="center"/>
          </w:tcPr>
          <w:p>
            <w:r/>
            <w:r>
              <w:rPr>
                <w:b w:val="0"/>
                <w:sz w:val="18"/>
              </w:rPr>
              <w:t>ConfigRegistry</w:t>
            </w:r>
          </w:p>
        </w:tc>
        <w:tc>
          <w:tcPr>
            <w:tcW w:type="dxa" w:w="3456"/>
            <w:vAlign w:val="center"/>
          </w:tcPr>
          <w:p>
            <w:r/>
            <w:r>
              <w:rPr>
                <w:b w:val="0"/>
                <w:sz w:val="18"/>
              </w:rPr>
              <w:t>Pins every run to exact strategy and service versions.</w:t>
            </w:r>
          </w:p>
        </w:tc>
        <w:tc>
          <w:tcPr>
            <w:tcW w:type="dxa" w:w="4464"/>
            <w:vAlign w:val="center"/>
          </w:tcPr>
          <w:p>
            <w:r/>
            <w:r>
              <w:rPr>
                <w:b w:val="0"/>
                <w:sz w:val="18"/>
              </w:rPr>
              <w:t>Enables audit-quality reproducibility.</w:t>
            </w:r>
          </w:p>
        </w:tc>
      </w:tr>
    </w:tbl>
    <w:p>
      <w:pPr>
        <w:pStyle w:val="Heading1"/>
      </w:pPr>
      <w:r>
        <w:t>8. NATS and JetStream topology for replay</w:t>
      </w:r>
    </w:p>
    <w:p>
      <w:r>
        <w:t>Keep live subjects and replay subjects separate. A practical pattern is to mirror the live namespace under replay.trade.* and to run replay consumers under dedicated accounts or credentials so no replay message can leak into production consumers.</w:t>
      </w:r>
    </w:p>
    <w:p>
      <w:r>
        <w:t>Backtesting can run either entirely off-stream in a pure simulator or against recorded streams in a hybrid replay mode. The hybrid approach is valuable for regression testing recommendation workflows and deterministic intent logic after architecture changes.</w:t>
      </w:r>
    </w:p>
    <w:tbl>
      <w:tblPr>
        <w:tblW w:type="auto" w:w="0"/>
        <w:jc w:val="center"/>
        <w:tblLayout w:type="fixed"/>
        <w:tblLook w:firstColumn="1" w:firstRow="1" w:lastColumn="0" w:lastRow="0" w:noHBand="0" w:noVBand="1" w:val="04A0"/>
      </w:tblPr>
      <w:tblGrid>
        <w:gridCol w:w="3168"/>
        <w:gridCol w:w="3168"/>
        <w:gridCol w:w="4320"/>
      </w:tblGrid>
      <w:tr>
        <w:trPr>
          <w:tblHeader w:val="true"/>
        </w:trPr>
        <w:tc>
          <w:tcPr>
            <w:tcW w:type="dxa" w:w="3312"/>
            <w:vAlign w:val="center"/>
            <w:shd w:fill="1F4E78"/>
          </w:tcPr>
          <w:p>
            <w:pPr>
              <w:jc w:val="center"/>
            </w:pPr>
            <w:r/>
            <w:r>
              <w:rPr>
                <w:b/>
                <w:color w:val="FFFFFF"/>
                <w:sz w:val="20"/>
              </w:rPr>
              <w:t>Stream / namespace</w:t>
            </w:r>
          </w:p>
        </w:tc>
        <w:tc>
          <w:tcPr>
            <w:tcW w:type="dxa" w:w="3312"/>
            <w:vAlign w:val="center"/>
            <w:shd w:fill="1F4E78"/>
          </w:tcPr>
          <w:p>
            <w:pPr>
              <w:jc w:val="center"/>
            </w:pPr>
            <w:r/>
            <w:r>
              <w:rPr>
                <w:b/>
                <w:color w:val="FFFFFF"/>
                <w:sz w:val="20"/>
              </w:rPr>
              <w:t>Subjects</w:t>
            </w:r>
          </w:p>
        </w:tc>
        <w:tc>
          <w:tcPr>
            <w:tcW w:type="dxa" w:w="3312"/>
            <w:vAlign w:val="center"/>
            <w:shd w:fill="1F4E78"/>
          </w:tcPr>
          <w:p>
            <w:pPr>
              <w:jc w:val="center"/>
            </w:pPr>
            <w:r/>
            <w:r>
              <w:rPr>
                <w:b/>
                <w:color w:val="FFFFFF"/>
                <w:sz w:val="20"/>
              </w:rPr>
              <w:t>Purpose</w:t>
            </w:r>
          </w:p>
        </w:tc>
      </w:tr>
      <w:tr>
        <w:tc>
          <w:tcPr>
            <w:tcW w:type="dxa" w:w="3168"/>
            <w:vAlign w:val="center"/>
          </w:tcPr>
          <w:p>
            <w:r/>
            <w:r>
              <w:rPr>
                <w:b w:val="0"/>
                <w:sz w:val="18"/>
              </w:rPr>
              <w:t>TRADE_SIGNAL</w:t>
            </w:r>
          </w:p>
        </w:tc>
        <w:tc>
          <w:tcPr>
            <w:tcW w:type="dxa" w:w="3168"/>
            <w:vAlign w:val="center"/>
          </w:tcPr>
          <w:p>
            <w:r/>
            <w:r>
              <w:rPr>
                <w:b w:val="0"/>
                <w:sz w:val="18"/>
              </w:rPr>
              <w:t>trade.signal.&gt;, replay.trade.signal.&gt;</w:t>
            </w:r>
          </w:p>
        </w:tc>
        <w:tc>
          <w:tcPr>
            <w:tcW w:type="dxa" w:w="4320"/>
            <w:vAlign w:val="center"/>
          </w:tcPr>
          <w:p>
            <w:r/>
            <w:r>
              <w:rPr>
                <w:b w:val="0"/>
                <w:sz w:val="18"/>
              </w:rPr>
              <w:t>Original and replayed intrinsic-time signals and supersession events.</w:t>
            </w:r>
          </w:p>
        </w:tc>
      </w:tr>
      <w:tr>
        <w:tc>
          <w:tcPr>
            <w:tcW w:type="dxa" w:w="3168"/>
            <w:vAlign w:val="center"/>
          </w:tcPr>
          <w:p>
            <w:r/>
            <w:r>
              <w:rPr>
                <w:b w:val="0"/>
                <w:sz w:val="18"/>
              </w:rPr>
              <w:t>TRADE_AGENT</w:t>
            </w:r>
          </w:p>
        </w:tc>
        <w:tc>
          <w:tcPr>
            <w:tcW w:type="dxa" w:w="3168"/>
            <w:vAlign w:val="center"/>
          </w:tcPr>
          <w:p>
            <w:r/>
            <w:r>
              <w:rPr>
                <w:b w:val="0"/>
                <w:sz w:val="18"/>
              </w:rPr>
              <w:t>trade.agent.&gt;, trade.recommendation.&gt;, replay.trade.agent.&gt;</w:t>
            </w:r>
          </w:p>
        </w:tc>
        <w:tc>
          <w:tcPr>
            <w:tcW w:type="dxa" w:w="4320"/>
            <w:vAlign w:val="center"/>
          </w:tcPr>
          <w:p>
            <w:r/>
            <w:r>
              <w:rPr>
                <w:b w:val="0"/>
                <w:sz w:val="18"/>
              </w:rPr>
              <w:t>Workflow lifecycle, recommendations, abstain/withdraw messages.</w:t>
            </w:r>
          </w:p>
        </w:tc>
      </w:tr>
      <w:tr>
        <w:tc>
          <w:tcPr>
            <w:tcW w:type="dxa" w:w="3168"/>
            <w:vAlign w:val="center"/>
          </w:tcPr>
          <w:p>
            <w:r/>
            <w:r>
              <w:rPr>
                <w:b w:val="0"/>
                <w:sz w:val="18"/>
              </w:rPr>
              <w:t>TRADE_DECISION</w:t>
            </w:r>
          </w:p>
        </w:tc>
        <w:tc>
          <w:tcPr>
            <w:tcW w:type="dxa" w:w="3168"/>
            <w:vAlign w:val="center"/>
          </w:tcPr>
          <w:p>
            <w:r/>
            <w:r>
              <w:rPr>
                <w:b w:val="0"/>
                <w:sz w:val="18"/>
              </w:rPr>
              <w:t>trade.intent.&gt;, trade.candidate.&gt;, trade.risk.&gt;, trade.action.&gt;</w:t>
            </w:r>
          </w:p>
        </w:tc>
        <w:tc>
          <w:tcPr>
            <w:tcW w:type="dxa" w:w="4320"/>
            <w:vAlign w:val="center"/>
          </w:tcPr>
          <w:p>
            <w:r/>
            <w:r>
              <w:rPr>
                <w:b w:val="0"/>
                <w:sz w:val="18"/>
              </w:rPr>
              <w:t>Deterministic intent processing and approval/rejection path.</w:t>
            </w:r>
          </w:p>
        </w:tc>
      </w:tr>
      <w:tr>
        <w:tc>
          <w:tcPr>
            <w:tcW w:type="dxa" w:w="3168"/>
            <w:vAlign w:val="center"/>
          </w:tcPr>
          <w:p>
            <w:r/>
            <w:r>
              <w:rPr>
                <w:b w:val="0"/>
                <w:sz w:val="18"/>
              </w:rPr>
              <w:t>TRADE_EXEC</w:t>
            </w:r>
          </w:p>
        </w:tc>
        <w:tc>
          <w:tcPr>
            <w:tcW w:type="dxa" w:w="3168"/>
            <w:vAlign w:val="center"/>
          </w:tcPr>
          <w:p>
            <w:r/>
            <w:r>
              <w:rPr>
                <w:b w:val="0"/>
                <w:sz w:val="18"/>
              </w:rPr>
              <w:t>trade.order.&gt;, trade.position.&gt;, replay.trade.exec.&gt;</w:t>
            </w:r>
          </w:p>
        </w:tc>
        <w:tc>
          <w:tcPr>
            <w:tcW w:type="dxa" w:w="4320"/>
            <w:vAlign w:val="center"/>
          </w:tcPr>
          <w:p>
            <w:r/>
            <w:r>
              <w:rPr>
                <w:b w:val="0"/>
                <w:sz w:val="18"/>
              </w:rPr>
              <w:t>OMS, execution, fill, and position lifecycle.</w:t>
            </w:r>
          </w:p>
        </w:tc>
      </w:tr>
      <w:tr>
        <w:tc>
          <w:tcPr>
            <w:tcW w:type="dxa" w:w="3168"/>
            <w:vAlign w:val="center"/>
          </w:tcPr>
          <w:p>
            <w:r/>
            <w:r>
              <w:rPr>
                <w:b w:val="0"/>
                <w:sz w:val="18"/>
              </w:rPr>
              <w:t>TRADE_AUDIT</w:t>
            </w:r>
          </w:p>
        </w:tc>
        <w:tc>
          <w:tcPr>
            <w:tcW w:type="dxa" w:w="3168"/>
            <w:vAlign w:val="center"/>
          </w:tcPr>
          <w:p>
            <w:r/>
            <w:r>
              <w:rPr>
                <w:b w:val="0"/>
                <w:sz w:val="18"/>
              </w:rPr>
              <w:t>trade.audit.&gt;, trade.mcp.tool.&gt;</w:t>
            </w:r>
          </w:p>
        </w:tc>
        <w:tc>
          <w:tcPr>
            <w:tcW w:type="dxa" w:w="4320"/>
            <w:vAlign w:val="center"/>
          </w:tcPr>
          <w:p>
            <w:r/>
            <w:r>
              <w:rPr>
                <w:b w:val="0"/>
                <w:sz w:val="18"/>
              </w:rPr>
              <w:t>Long-retention audit and forensic trace store.</w:t>
            </w:r>
          </w:p>
        </w:tc>
      </w:tr>
    </w:tbl>
    <w:p>
      <w:pPr>
        <w:pStyle w:val="Heading1"/>
      </w:pPr>
      <w:r>
        <w:t>9. Data model and audit requirements</w:t>
      </w:r>
    </w:p>
    <w:p>
      <w:pPr>
        <w:pStyle w:val="ListBullet"/>
      </w:pPr>
      <w:r>
        <w:t>Persist signal envelope, workflow id, tool calls, recommendation payload, policy-firewall disposition, deterministic intent, candidate set, scenario-engine snapshot, risk result, execution events, and final realized outcome under a common correlation id.</w:t>
      </w:r>
    </w:p>
    <w:p>
      <w:pPr>
        <w:pStyle w:val="ListBullet"/>
      </w:pPr>
      <w:r>
        <w:t>For every losing trade, store a post-trade review record containing regime state, roll state, news-risk state, event calendar state, recommendation lineage, execution diagnostics, and scenario-engine explanations.</w:t>
      </w:r>
    </w:p>
    <w:p>
      <w:pPr>
        <w:pStyle w:val="ListBullet"/>
      </w:pPr>
      <w:r>
        <w:t>Persist strategy version, config hash, model id, workflow version, and MCP schema version for every recommendation and action path.</w:t>
      </w:r>
    </w:p>
    <w:p>
      <w:pPr>
        <w:pStyle w:val="ListBullet"/>
      </w:pPr>
      <w:r>
        <w:t>Make all audit records exportable for offline model-risk review and replay selection.</w:t>
      </w:r>
    </w:p>
    <w:p>
      <w:pPr>
        <w:pStyle w:val="Heading1"/>
      </w:pPr>
      <w:r>
        <w:t>10. Recommended rollout sequence</w:t>
      </w:r>
    </w:p>
    <w:p>
      <w:r>
        <w:t>Begin with futures-roll handling, continuous series, event-driven backtesting, and replay. These are foundational and improve both strategy quality and your ability to evaluate every later enhancement.</w:t>
      </w:r>
    </w:p>
    <w:p>
      <w:r>
        <w:t>Next integrate liquidity diagnostics, event calendar gating, and the scenario engine. Then add semantic news-risk analysis strictly as a veto or risk-modifier input. Finally, add bounded learning components only after the validation stack is mature.</w:t>
      </w:r>
    </w:p>
    <w:p>
      <w:r>
        <w:t>Every live release should include regression evidence from replay runs on representative periods: calm range, trend acceleration, backwardation, macro event windows, and contract roll windows.</w:t>
      </w:r>
    </w:p>
    <w:p>
      <w:pPr>
        <w:pStyle w:val="Heading1"/>
      </w:pPr>
      <w:r>
        <w:t>Appendix A. Zone-by-zone security and deployment diagram</w:t>
      </w:r>
    </w:p>
    <w:p>
      <w:pPr>
        <w:spacing w:before="40" w:after="0"/>
      </w:pPr>
      <w:r>
        <w:rPr>
          <w:rFonts w:ascii="Courier New" w:hAnsi="Courier New"/>
          <w:sz w:val="16"/>
        </w:rPr>
        <w:t>[Ingress] -&gt; [OpenClaw Orchestrator] -&gt; [MCP Bridge]</w:t>
        <w:br/>
      </w:r>
      <w:r>
        <w:rPr>
          <w:rFonts w:ascii="Courier New" w:hAnsi="Courier New"/>
          <w:sz w:val="16"/>
        </w:rPr>
        <w:t xml:space="preserve">                                          |</w:t>
        <w:br/>
      </w:r>
      <w:r>
        <w:rPr>
          <w:rFonts w:ascii="Courier New" w:hAnsi="Courier New"/>
          <w:sz w:val="16"/>
        </w:rPr>
        <w:t xml:space="preserve">                                          v</w:t>
        <w:br/>
      </w:r>
      <w:r>
        <w:rPr>
          <w:rFonts w:ascii="Courier New" w:hAnsi="Courier New"/>
          <w:sz w:val="16"/>
        </w:rPr>
        <w:t xml:space="preserve">              [Trusted Core: firewall -&gt; intent -&gt; risk -&gt; OMS -&gt; replay]</w:t>
        <w:br/>
      </w:r>
      <w:r>
        <w:rPr>
          <w:rFonts w:ascii="Courier New" w:hAnsi="Courier New"/>
          <w:sz w:val="16"/>
        </w:rPr>
        <w:t xml:space="preserve">                                          |</w:t>
        <w:br/>
      </w:r>
      <w:r>
        <w:rPr>
          <w:rFonts w:ascii="Courier New" w:hAnsi="Courier New"/>
          <w:sz w:val="16"/>
        </w:rPr>
        <w:t xml:space="preserve">                                          v</w:t>
        <w:br/>
      </w:r>
      <w:r>
        <w:rPr>
          <w:rFonts w:ascii="Courier New" w:hAnsi="Courier New"/>
          <w:sz w:val="16"/>
        </w:rPr>
        <w:t xml:space="preserve">                           [Broker / Exchange / Market Data]</w:t>
        <w:b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436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60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noStyle">
    <w:name w:val="MonoStyl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