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44"/>
        </w:rPr>
        <w:t>Agentic AI Trading System Blueprint</w:t>
        <w:br/>
        <w:t>and Updated Intrinsic-Time Strategy Specification</w:t>
      </w:r>
    </w:p>
    <w:p>
      <w:pPr>
        <w:jc w:val="center"/>
      </w:pPr>
      <w:r>
        <w:rPr>
          <w:i/>
          <w:color w:val="555555"/>
          <w:sz w:val="23"/>
        </w:rPr>
        <w:t>Integrated architecture, governance, deterministic control model,</w:t>
        <w:br/>
        <w:t>shock-aware intrinsic thresholds, and revised C# contracts/pseudo-code</w:t>
      </w:r>
    </w:p>
    <w:p/>
    <w:p>
      <w:pPr>
        <w:jc w:val="center"/>
      </w:pPr>
      <w:r>
        <w:rPr>
          <w:b/>
        </w:rPr>
        <w:t>Prepared for production design review</w:t>
        <w:br/>
      </w:r>
      <w:r>
        <w:t>Date: March 24, 2026</w:t>
      </w:r>
    </w:p>
    <w:p/>
    <w:tbl>
      <w:tblPr>
        <w:tblW w:type="auto" w:w="0"/>
        <w:jc w:val="center"/>
        <w:tblLook w:firstColumn="1" w:firstRow="1" w:lastColumn="0" w:lastRow="0" w:noHBand="0" w:noVBand="1" w:val="04A0"/>
      </w:tblPr>
      <w:tblGrid>
        <w:gridCol w:w="2592"/>
        <w:gridCol w:w="6912"/>
      </w:tblGrid>
      <w:tr>
        <w:tc>
          <w:tcPr>
            <w:tcW w:type="dxa" w:w="4968"/>
            <w:vAlign w:val="center"/>
            <w:tcMar>
              <w:top w:w="80" w:type="dxa"/>
              <w:start w:w="100" w:type="dxa"/>
              <w:bottom w:w="80" w:type="dxa"/>
              <w:end w:w="100" w:type="dxa"/>
            </w:tcMar>
            <w:shd w:fill="D9EAF7"/>
          </w:tcPr>
          <w:p>
            <w:r>
              <w:t>Scope</w:t>
            </w:r>
          </w:p>
        </w:tc>
        <w:tc>
          <w:tcPr>
            <w:tcW w:type="dxa" w:w="4968"/>
            <w:vAlign w:val="center"/>
            <w:tcMar>
              <w:top w:w="80" w:type="dxa"/>
              <w:start w:w="100" w:type="dxa"/>
              <w:bottom w:w="80" w:type="dxa"/>
              <w:end w:w="100" w:type="dxa"/>
            </w:tcMar>
          </w:tcPr>
          <w:p>
            <w:r>
              <w:t>Complete strategy update and platform blueprint</w:t>
            </w:r>
          </w:p>
        </w:tc>
      </w:tr>
      <w:tr>
        <w:tc>
          <w:tcPr>
            <w:tcW w:type="dxa" w:w="4968"/>
            <w:vAlign w:val="center"/>
            <w:tcMar>
              <w:top w:w="80" w:type="dxa"/>
              <w:start w:w="100" w:type="dxa"/>
              <w:bottom w:w="80" w:type="dxa"/>
              <w:end w:w="100" w:type="dxa"/>
            </w:tcMar>
            <w:shd w:fill="D9EAF7"/>
          </w:tcPr>
          <w:p>
            <w:r>
              <w:t>Trusted execution boundary</w:t>
            </w:r>
          </w:p>
        </w:tc>
        <w:tc>
          <w:tcPr>
            <w:tcW w:type="dxa" w:w="4968"/>
            <w:vAlign w:val="center"/>
            <w:tcMar>
              <w:top w:w="80" w:type="dxa"/>
              <w:start w:w="100" w:type="dxa"/>
              <w:bottom w:w="80" w:type="dxa"/>
              <w:end w:w="100" w:type="dxa"/>
            </w:tcMar>
          </w:tcPr>
          <w:p>
            <w:r>
              <w:t>Core trading system only</w:t>
            </w:r>
          </w:p>
        </w:tc>
      </w:tr>
      <w:tr>
        <w:tc>
          <w:tcPr>
            <w:tcW w:type="dxa" w:w="4968"/>
            <w:vAlign w:val="center"/>
            <w:tcMar>
              <w:top w:w="80" w:type="dxa"/>
              <w:start w:w="100" w:type="dxa"/>
              <w:bottom w:w="80" w:type="dxa"/>
              <w:end w:w="100" w:type="dxa"/>
            </w:tcMar>
            <w:shd w:fill="D9EAF7"/>
          </w:tcPr>
          <w:p>
            <w:r>
              <w:t>External orchestration</w:t>
            </w:r>
          </w:p>
        </w:tc>
        <w:tc>
          <w:tcPr>
            <w:tcW w:type="dxa" w:w="4968"/>
            <w:vAlign w:val="center"/>
            <w:tcMar>
              <w:top w:w="80" w:type="dxa"/>
              <w:start w:w="100" w:type="dxa"/>
              <w:bottom w:w="80" w:type="dxa"/>
              <w:end w:w="100" w:type="dxa"/>
            </w:tcMar>
          </w:tcPr>
          <w:p>
            <w:r>
              <w:t>OpenClaw + separate MCP bridge</w:t>
            </w:r>
          </w:p>
        </w:tc>
      </w:tr>
    </w:tbl>
    <w:p>
      <w:r>
        <w:br w:type="page"/>
      </w:r>
    </w:p>
    <w:p>
      <w:pPr>
        <w:pStyle w:val="Heading1"/>
      </w:pPr>
      <w:r>
        <w:t>Executive Summary</w:t>
      </w:r>
    </w:p>
    <w:p>
      <w:r>
        <w:t>This document folds the latest design changes into the full package: a volatility-adaptive intrinsic-time threshold, monthly EMA confirmation rules, a shock override driven by VIX jump and backwardation, and an updated agentic architecture in which OpenClaw orchestrates tasks while the core trading system retains exclusive authority over deterministic trade actions and order execution.</w:t>
      </w:r>
    </w:p>
    <w:p>
      <w:r>
        <w:t>The resulting target-state platform is intentionally split into two perimeters. The external agent-control plane performs orchestration, context gathering, judgement, and recommendation publication through a separate MCP server. The trusted core trading plane validates every recommendation, builds exact candidates, enforces all risk and portfolio rules, and alone can issue enter, exit, reduce, hedge, or order-routing actions.</w:t>
      </w:r>
    </w:p>
    <w:p>
      <w:r>
        <w:t>The strategy itself remains regime-adaptive. Intrinsic-time signals trigger review workflows, ADX and volatility classify regime, EMA structure confirms monthly directional bias, and a shock-aware override ensures that volatility jumps or a term-structure flip to backwardation cannot be ignored merely because the adaptive threshold became less sensitive in high-volatility conditions.</w:t>
      </w:r>
    </w:p>
    <w:p>
      <w:pPr>
        <w:pStyle w:val="Heading2"/>
      </w:pPr>
      <w:r>
        <w:t>Key Design Decisions Added in This Revision</w:t>
      </w:r>
    </w:p>
    <w:tbl>
      <w:tblPr>
        <w:tblW w:type="auto" w:w="0"/>
        <w:jc w:val="center"/>
        <w:tblLook w:firstColumn="1" w:firstRow="1" w:lastColumn="0" w:lastRow="0" w:noHBand="0" w:noVBand="1" w:val="04A0"/>
      </w:tblPr>
      <w:tblGrid>
        <w:gridCol w:w="3312"/>
        <w:gridCol w:w="3312"/>
        <w:gridCol w:w="3312"/>
      </w:tblGrid>
      <w:tr>
        <w:tc>
          <w:tcPr>
            <w:tcW w:type="dxa" w:w="3312"/>
            <w:vAlign w:val="center"/>
            <w:shd w:fill="2F6B8A"/>
            <w:tcMar>
              <w:top w:w="80" w:type="dxa"/>
              <w:start w:w="100" w:type="dxa"/>
              <w:bottom w:w="80" w:type="dxa"/>
              <w:end w:w="100" w:type="dxa"/>
            </w:tcMar>
          </w:tcPr>
          <w:p>
            <w:r>
              <w:rPr>
                <w:b/>
                <w:color w:val="FFFFFF"/>
              </w:rPr>
              <w:t>Change</w:t>
            </w:r>
          </w:p>
        </w:tc>
        <w:tc>
          <w:tcPr>
            <w:tcW w:type="dxa" w:w="3312"/>
            <w:vAlign w:val="center"/>
            <w:shd w:fill="2F6B8A"/>
            <w:tcMar>
              <w:top w:w="80" w:type="dxa"/>
              <w:start w:w="100" w:type="dxa"/>
              <w:bottom w:w="80" w:type="dxa"/>
              <w:end w:w="100" w:type="dxa"/>
            </w:tcMar>
          </w:tcPr>
          <w:p>
            <w:r>
              <w:rPr>
                <w:b/>
                <w:color w:val="FFFFFF"/>
              </w:rPr>
              <w:t>Decision</w:t>
            </w:r>
          </w:p>
        </w:tc>
        <w:tc>
          <w:tcPr>
            <w:tcW w:type="dxa" w:w="3312"/>
            <w:vAlign w:val="center"/>
            <w:shd w:fill="2F6B8A"/>
            <w:tcMar>
              <w:top w:w="80" w:type="dxa"/>
              <w:start w:w="100" w:type="dxa"/>
              <w:bottom w:w="80" w:type="dxa"/>
              <w:end w:w="100" w:type="dxa"/>
            </w:tcMar>
          </w:tcPr>
          <w:p>
            <w:r>
              <w:rPr>
                <w:b/>
                <w:color w:val="FFFFFF"/>
              </w:rPr>
              <w:t>Why It Matters</w:t>
            </w:r>
          </w:p>
        </w:tc>
      </w:tr>
      <w:tr>
        <w:tc>
          <w:tcPr>
            <w:tcW w:type="dxa" w:w="3312"/>
            <w:vAlign w:val="center"/>
            <w:tcMar>
              <w:top w:w="80" w:type="dxa"/>
              <w:start w:w="100" w:type="dxa"/>
              <w:bottom w:w="80" w:type="dxa"/>
              <w:end w:w="100" w:type="dxa"/>
            </w:tcMar>
          </w:tcPr>
          <w:p>
            <w:r>
              <w:t>Intrinsic threshold</w:t>
            </w:r>
          </w:p>
        </w:tc>
        <w:tc>
          <w:tcPr>
            <w:tcW w:type="dxa" w:w="3312"/>
            <w:vAlign w:val="center"/>
            <w:tcMar>
              <w:top w:w="80" w:type="dxa"/>
              <w:start w:w="100" w:type="dxa"/>
              <w:bottom w:w="80" w:type="dxa"/>
              <w:end w:w="100" w:type="dxa"/>
            </w:tcMar>
          </w:tcPr>
          <w:p>
            <w:r>
              <w:t>Threshold = λ × log(tradingDays), with weekly=5 and monthly=20 as default sleeve anchors</w:t>
            </w:r>
          </w:p>
        </w:tc>
        <w:tc>
          <w:tcPr>
            <w:tcW w:type="dxa" w:w="3312"/>
            <w:vAlign w:val="center"/>
            <w:tcMar>
              <w:top w:w="80" w:type="dxa"/>
              <w:start w:w="100" w:type="dxa"/>
              <w:bottom w:w="80" w:type="dxa"/>
              <w:end w:w="100" w:type="dxa"/>
            </w:tcMar>
          </w:tcPr>
          <w:p>
            <w:r>
              <w:t>Adapts event sensitivity to both volatility and horizon</w:t>
            </w:r>
          </w:p>
        </w:tc>
      </w:tr>
      <w:tr>
        <w:tc>
          <w:tcPr>
            <w:tcW w:type="dxa" w:w="3312"/>
            <w:vAlign w:val="center"/>
            <w:tcMar>
              <w:top w:w="80" w:type="dxa"/>
              <w:start w:w="100" w:type="dxa"/>
              <w:bottom w:w="80" w:type="dxa"/>
              <w:end w:w="100" w:type="dxa"/>
            </w:tcMar>
          </w:tcPr>
          <w:p>
            <w:r>
              <w:t>Lambda calibration</w:t>
            </w:r>
          </w:p>
        </w:tc>
        <w:tc>
          <w:tcPr>
            <w:tcW w:type="dxa" w:w="3312"/>
            <w:vAlign w:val="center"/>
            <w:tcMar>
              <w:top w:w="80" w:type="dxa"/>
              <w:start w:w="100" w:type="dxa"/>
              <w:bottom w:w="80" w:type="dxa"/>
              <w:end w:w="100" w:type="dxa"/>
            </w:tcMar>
          </w:tcPr>
          <w:p>
            <w:r>
              <w:t>Configurable baseline VIX futures and minimum lambda floor</w:t>
            </w:r>
          </w:p>
        </w:tc>
        <w:tc>
          <w:tcPr>
            <w:tcW w:type="dxa" w:w="3312"/>
            <w:vAlign w:val="center"/>
            <w:tcMar>
              <w:top w:w="80" w:type="dxa"/>
              <w:start w:w="100" w:type="dxa"/>
              <w:bottom w:w="80" w:type="dxa"/>
              <w:end w:w="100" w:type="dxa"/>
            </w:tcMar>
          </w:tcPr>
          <w:p>
            <w:r>
              <w:t>Avoids hard-coded hidden assumptions</w:t>
            </w:r>
          </w:p>
        </w:tc>
      </w:tr>
      <w:tr>
        <w:tc>
          <w:tcPr>
            <w:tcW w:type="dxa" w:w="3312"/>
            <w:vAlign w:val="center"/>
            <w:tcMar>
              <w:top w:w="80" w:type="dxa"/>
              <w:start w:w="100" w:type="dxa"/>
              <w:bottom w:w="80" w:type="dxa"/>
              <w:end w:w="100" w:type="dxa"/>
            </w:tcMar>
          </w:tcPr>
          <w:p>
            <w:r>
              <w:t>Shock override</w:t>
            </w:r>
          </w:p>
        </w:tc>
        <w:tc>
          <w:tcPr>
            <w:tcW w:type="dxa" w:w="3312"/>
            <w:vAlign w:val="center"/>
            <w:tcMar>
              <w:top w:w="80" w:type="dxa"/>
              <w:start w:w="100" w:type="dxa"/>
              <w:bottom w:w="80" w:type="dxa"/>
              <w:end w:w="100" w:type="dxa"/>
            </w:tcMar>
          </w:tcPr>
          <w:p>
            <w:r>
              <w:t>Triggered by VIX jump and/or backwardation</w:t>
            </w:r>
          </w:p>
        </w:tc>
        <w:tc>
          <w:tcPr>
            <w:tcW w:type="dxa" w:w="3312"/>
            <w:vAlign w:val="center"/>
            <w:tcMar>
              <w:top w:w="80" w:type="dxa"/>
              <w:start w:w="100" w:type="dxa"/>
              <w:bottom w:w="80" w:type="dxa"/>
              <w:end w:w="100" w:type="dxa"/>
            </w:tcMar>
          </w:tcPr>
          <w:p>
            <w:r>
              <w:t>Prevents underreaction during volatility shock</w:t>
            </w:r>
          </w:p>
        </w:tc>
      </w:tr>
      <w:tr>
        <w:tc>
          <w:tcPr>
            <w:tcW w:type="dxa" w:w="3312"/>
            <w:vAlign w:val="center"/>
            <w:tcMar>
              <w:top w:w="80" w:type="dxa"/>
              <w:start w:w="100" w:type="dxa"/>
              <w:bottom w:w="80" w:type="dxa"/>
              <w:end w:w="100" w:type="dxa"/>
            </w:tcMar>
          </w:tcPr>
          <w:p>
            <w:r>
              <w:t>Monthly confirmation</w:t>
            </w:r>
          </w:p>
        </w:tc>
        <w:tc>
          <w:tcPr>
            <w:tcW w:type="dxa" w:w="3312"/>
            <w:vAlign w:val="center"/>
            <w:tcMar>
              <w:top w:w="80" w:type="dxa"/>
              <w:start w:w="100" w:type="dxa"/>
              <w:bottom w:w="80" w:type="dxa"/>
              <w:end w:w="100" w:type="dxa"/>
            </w:tcMar>
          </w:tcPr>
          <w:p>
            <w:r>
              <w:t>Uptrend: Price &gt; 20EMA &gt; 50EMA &gt; 200EMA; downtrend inverse; use daily bars for monthly sleeve</w:t>
            </w:r>
          </w:p>
        </w:tc>
        <w:tc>
          <w:tcPr>
            <w:tcW w:type="dxa" w:w="3312"/>
            <w:vAlign w:val="center"/>
            <w:tcMar>
              <w:top w:w="80" w:type="dxa"/>
              <w:start w:w="100" w:type="dxa"/>
              <w:bottom w:w="80" w:type="dxa"/>
              <w:end w:w="100" w:type="dxa"/>
            </w:tcMar>
          </w:tcPr>
          <w:p>
            <w:r>
              <w:t>Adds robust slower confirmation without making it the primary signal</w:t>
            </w:r>
          </w:p>
        </w:tc>
      </w:tr>
      <w:tr>
        <w:tc>
          <w:tcPr>
            <w:tcW w:type="dxa" w:w="3312"/>
            <w:vAlign w:val="center"/>
            <w:tcMar>
              <w:top w:w="80" w:type="dxa"/>
              <w:start w:w="100" w:type="dxa"/>
              <w:bottom w:w="80" w:type="dxa"/>
              <w:end w:w="100" w:type="dxa"/>
            </w:tcMar>
          </w:tcPr>
          <w:p>
            <w:r>
              <w:t>Architecture refinement</w:t>
            </w:r>
          </w:p>
        </w:tc>
        <w:tc>
          <w:tcPr>
            <w:tcW w:type="dxa" w:w="3312"/>
            <w:vAlign w:val="center"/>
            <w:tcMar>
              <w:top w:w="80" w:type="dxa"/>
              <w:start w:w="100" w:type="dxa"/>
              <w:bottom w:w="80" w:type="dxa"/>
              <w:end w:w="100" w:type="dxa"/>
            </w:tcMar>
          </w:tcPr>
          <w:p>
            <w:r>
              <w:t>Deterministic Intent Layer added inside core</w:t>
            </w:r>
          </w:p>
        </w:tc>
        <w:tc>
          <w:tcPr>
            <w:tcW w:type="dxa" w:w="3312"/>
            <w:vAlign w:val="center"/>
            <w:tcMar>
              <w:top w:w="80" w:type="dxa"/>
              <w:start w:w="100" w:type="dxa"/>
              <w:bottom w:w="80" w:type="dxa"/>
              <w:end w:w="100" w:type="dxa"/>
            </w:tcMar>
          </w:tcPr>
          <w:p>
            <w:r>
              <w:t>Creates a clean seam between AI recommendations and hard actions</w:t>
            </w:r>
          </w:p>
        </w:tc>
      </w:tr>
    </w:tbl>
    <w:p/>
    <w:p>
      <w:pPr>
        <w:pStyle w:val="Heading1"/>
      </w:pPr>
      <w:r>
        <w:t>1. Strategy Mandate and Operating Principle</w:t>
      </w:r>
    </w:p>
    <w:p>
      <w:r>
        <w:t>The strategy trades ES futures options through a regime-adaptive framework. It uses intrinsic-time events to trigger review, market-state features to classify environment, and deterministic controls to select, size, approve, and route trades.</w:t>
      </w:r>
    </w:p>
    <w:p>
      <w:r>
        <w:t>The central operating principle remains unchanged: the platform must never force one structure into all regimes. Neutral short-gamma structures are reserved for range-bound, stable-volatility conditions. Directional structures are used for trend regimes. Extreme-volatility conditions disable standard short-premium tactics.</w:t>
      </w:r>
    </w:p>
    <w:p>
      <w:r>
        <w:t>The latest revision strengthens the trigger layer and the monthly confirmation layer while preserving strict execution discipline inside the trusted core.</w:t>
      </w:r>
    </w:p>
    <w:p>
      <w:pPr>
        <w:pStyle w:val="Heading1"/>
      </w:pPr>
      <w:r>
        <w:t>2. Updated Intrinsic-Time Threshold Design</w:t>
      </w:r>
    </w:p>
    <w:p>
      <w:r>
        <w:t>The intrinsic-time threshold is now volatility-adaptive and sleeve-aware. By default, weekly strategy review events use five trading days and monthly strategy review events use twenty trading days.</w:t>
      </w:r>
    </w:p>
    <w:p>
      <w:r>
        <w:t>The formula is: threshold = lambda(vixFutures) × log(tradingDays). Natural logarithm is assumed. Because log(20) is materially larger than log(5), the monthly sleeve requires a larger movement to register an equivalent intrinsic event than the weekly sleeve.</w:t>
      </w:r>
    </w:p>
    <w:p>
      <w:r>
        <w:t>The threshold should be interpreted as a review trigger, not as an autonomous order trigger. It initiates a workflow that can lead to recommendation, abstention, or exit review.</w:t>
      </w:r>
    </w:p>
    <w:p>
      <w:pPr>
        <w:pStyle w:val="Heading1"/>
      </w:pPr>
      <w:r>
        <w:t>3. Lambda Calibration Logic</w:t>
      </w:r>
    </w:p>
    <w:p>
      <w:r>
        <w:t>The lambda function scales with VIX futures so intrinsic-time events become less sensitive when volatility is elevated and more sensitive when volatility is subdued, while still respecting a minimum floor. The baseline VIX futures anchor is configurable and should not be treated as a law of nature.</w:t>
      </w:r>
    </w:p>
    <w:p>
      <w:r>
        <w:t>The intended behavior is asymmetric. Above the baseline, scaling uses the square root of normalized volatility to avoid explosive threshold expansion. Below the baseline, scaling is approximately linear. This preserves responsiveness in calmer conditions without making high-volatility environments unusably slow.</w:t>
      </w:r>
    </w:p>
    <w:p>
      <w:pPr>
        <w:pStyle w:val="Heading1"/>
      </w:pPr>
      <w:r>
        <w:t>4. Optional Shock Override</w:t>
      </w:r>
    </w:p>
    <w:p>
      <w:r>
        <w:t>Adaptive thresholds alone are insufficient during abrupt volatility shocks. In elevated-volatility conditions the square-root scaling can intentionally dampen sensitivity, which is useful in ordinary turbulence but dangerous if the market abruptly transitions into a risk-off regime.</w:t>
      </w:r>
    </w:p>
    <w:p>
      <w:r>
        <w:t>A shock override therefore supersedes the intrinsic threshold when either of the following occurs: a configured VIX jump threshold is exceeded over the lookback window, or the VIX term structure flips into backwardation or deepens materially in existing backwardation. When the override is active, transition and exit workflows must receive priority regardless of the ordinary threshold calculation.</w:t>
      </w:r>
    </w:p>
    <w:p>
      <w:pPr>
        <w:pStyle w:val="Heading1"/>
      </w:pPr>
      <w:r>
        <w:t>5. Monthly Directional Confirmation</w:t>
      </w:r>
    </w:p>
    <w:p>
      <w:r>
        <w:t>The monthly sleeve now supports explicit slower-trend confirmation. Monthly bullish confirmation requires futures price above the 20 EMA, the 20 EMA above the 50 EMA, and the 50 EMA above the 200 EMA. Monthly bearish confirmation uses the inverse ordering.</w:t>
      </w:r>
    </w:p>
    <w:p>
      <w:r>
        <w:t>These EMA rules should be computed on daily bars for the monthly sleeve unless an intentionally ultra-slow control model is desired. Using literal monthly-bar EMAs for a 200-period moving average is generally too slow for practical control.</w:t>
      </w:r>
    </w:p>
    <w:p>
      <w:r>
        <w:t>EMA confirmation is a veto or confirmation filter for monthly directional structures. It should not replace intrinsic-time triggers or the ADX/volatility regime classifier.</w:t>
      </w:r>
    </w:p>
    <w:p>
      <w:pPr>
        <w:pStyle w:val="Heading1"/>
      </w:pPr>
      <w:r>
        <w:t>6. Multi-Layer Regime Logic</w:t>
      </w:r>
    </w:p>
    <w:p>
      <w:r>
        <w:t>Intrinsic-time triggers initiate the workflow. ADX fast/core/slow determines whether the market is contained, transitioning, or trending. VIX level, ATR, and term structure classify the volatility regime. EMA stack confirms monthly directional eligibility. The rule engine resolves conflicts deterministically.</w:t>
      </w:r>
    </w:p>
    <w:p>
      <w:r>
        <w:t>The intended hierarchy is: signal trigger → regime classification → monthly confirmation (if monthly sleeve) → candidate generation → risk and portfolio approval → action issuance.</w:t>
      </w:r>
    </w:p>
    <w:p>
      <w:pPr>
        <w:pStyle w:val="Heading1"/>
      </w:pPr>
      <w:r>
        <w:t>7. Structure Selection Rules</w:t>
      </w:r>
    </w:p>
    <w:p>
      <w:r>
        <w:t>Range + stable volatility + supportive term structure: allow iron condors or broken-wing variants, with weekly sleeve preferred for theta capture.</w:t>
      </w:r>
    </w:p>
    <w:p>
      <w:r>
        <w:t>Developing or strong bullish trend: allow bullish credit or debit structures; do not force neutral condors.</w:t>
      </w:r>
    </w:p>
    <w:p>
      <w:r>
        <w:t>Developing or strong bearish trend: allow bearish credit or debit structures; do not force neutral condors.</w:t>
      </w:r>
    </w:p>
    <w:p>
      <w:r>
        <w:t>High or extreme volatility, especially under backwardation or shock override: reduce size, prefer convex or defensive structures, or abstain entirely.</w:t>
      </w:r>
    </w:p>
    <w:p>
      <w:pPr>
        <w:pStyle w:val="Heading1"/>
      </w:pPr>
      <w:r>
        <w:t>8. Agentic Orchestration Model</w:t>
      </w:r>
    </w:p>
    <w:p>
      <w:r>
        <w:t>OpenClaw serves as the external agent orchestrator. It receives minimal webhook signals, decomposes the relevant task, uses an MCP bridge to read required context, and publishes a structured recommendation. OpenClaw is not part of the trusted trading perimeter.</w:t>
      </w:r>
    </w:p>
    <w:p>
      <w:r>
        <w:t>The MCP bridge exists in a separate service boundary. It exposes read-only tools for market, risk, portfolio, and context queries, and write-only tools for recommendation publication. It must not expose order, position, or policy mutation capabilities to OpenClaw.</w:t>
      </w:r>
    </w:p>
    <w:p>
      <w:r>
        <w:t>The core trading system remains the only trusted action domain. It validates recommendation freshness, identity, workflow authorization, and policy compatibility before converting recommendations into deterministic intents.</w:t>
      </w:r>
    </w:p>
    <w:p>
      <w:pPr>
        <w:pStyle w:val="Heading1"/>
      </w:pPr>
      <w:r>
        <w:t>9. Deterministic Intent Layer</w:t>
      </w:r>
    </w:p>
    <w:p>
      <w:r>
        <w:t>A dedicated Deterministic Intent Layer sits between recommendation intake and hard action. This layer converts an accepted recommendation into an explicit trade intent such as EvaluateEntry, EvaluateExit, EvaluateReduce, or EvaluateHedge.</w:t>
      </w:r>
    </w:p>
    <w:p>
      <w:r>
        <w:t>Only after candidate generation, pricing, risk checks, and portfolio checks succeed may the core issue EnterPositionCommand, ExitPositionCommand, or other execution-related messages. This keeps AI judgement bounded while preserving replayability and governance.</w:t>
      </w:r>
    </w:p>
    <w:p>
      <w:pPr>
        <w:pStyle w:val="Heading1"/>
      </w:pPr>
      <w:r>
        <w:t>10. Message and Control Boundaries</w:t>
      </w:r>
    </w:p>
    <w:p>
      <w:r>
        <w:t>The system recognizes four classes of action. Class 0 observations and Class 1 recommendations may come from the agent side. Class 2 deterministic decisions and Class 3 execution actions are confined to the core trading plane.</w:t>
      </w:r>
    </w:p>
    <w:p>
      <w:r>
        <w:t>The boundary must be technically enforced through network segmentation, MCP authorization, NATS subject permissions, message signing, and schema validation. No advisory system may bypass those controls.</w:t>
      </w:r>
    </w:p>
    <w:p>
      <w:pPr>
        <w:pStyle w:val="Heading1"/>
      </w:pPr>
      <w:r>
        <w:t>11. Deployment and Security Zones</w:t>
      </w:r>
    </w:p>
    <w:p>
      <w:r>
        <w:t>The target deployment uses four zones: public ingress, agent orchestration, MCP broker, and trusted core trading. The only zone permitted to reach brokers or exchanges is the trusted core trading plane.</w:t>
      </w:r>
    </w:p>
    <w:p>
      <w:r>
        <w:t>Every service identity should be least-privilege. Recommendations should be signed. Replay protection, TTL validation, duplicate suppression, and workflow/model allowlists should be enforced before a recommendation reaches the rule engine.</w:t>
      </w:r>
    </w:p>
    <w:p>
      <w:pPr>
        <w:pStyle w:val="Heading1"/>
      </w:pPr>
      <w:r>
        <w:t>12. Operational Guidance and Backtesting Implications</w:t>
      </w:r>
    </w:p>
    <w:p>
      <w:r>
        <w:t>The revised threshold formula and monthly confirmation logic must be introduced through staged validation. Backtests should compare old versus new intrinsic-event frequency, recommendation quality, accepted trades, and regime-specific PnL contribution.</w:t>
      </w:r>
    </w:p>
    <w:p>
      <w:r>
        <w:t>The shock override must be evaluated under volatility jump, contango-to-backwardation transition, and stress-period replay. Particular attention should be paid to whether short-vol positions are exited more quickly and whether false-positive transition exits remain acceptable.</w:t>
      </w:r>
    </w:p>
    <w:p>
      <w:pPr>
        <w:pStyle w:val="Heading1"/>
      </w:pPr>
      <w:r>
        <w:t>13. Formal Strategy Rules and Formula Notes</w:t>
      </w:r>
    </w:p>
    <w:p>
      <w:pPr>
        <w:pStyle w:val="Heading2"/>
      </w:pPr>
      <w:r>
        <w:t>13.1 Intrinsic Threshold Formula</w:t>
      </w:r>
    </w:p>
    <w:p>
      <w:r>
        <w:t>Default sleeve anchors:</w:t>
      </w:r>
    </w:p>
    <w:p>
      <w:pPr>
        <w:pStyle w:val="ListBullet"/>
      </w:pPr>
      <w:r>
        <w:t>Weekly sleeve tradingDays = 5</w:t>
      </w:r>
    </w:p>
    <w:p>
      <w:pPr>
        <w:pStyle w:val="ListBullet"/>
      </w:pPr>
      <w:r>
        <w:t>Monthly sleeve tradingDays = 20</w:t>
      </w:r>
    </w:p>
    <w:p>
      <w:r>
        <w:t>Recommended production refinement: use effective trading days when you need finer alignment with actual hold windows or DTE buckets.</w:t>
      </w:r>
    </w:p>
    <w:p>
      <w:pPr>
        <w:pStyle w:val="IntenseQuote"/>
      </w:pPr>
      <w:r>
        <w:t>threshold = lambda(vixFuturesPrice) × log(tradingDays)</w:t>
      </w:r>
    </w:p>
    <w:p>
      <w:pPr>
        <w:pStyle w:val="IntenseQuote"/>
      </w:pPr>
      <w:r>
        <w:t>lambda(vixFuturesPrice) = max(minLambda, baseLambda × volatilityFactor)</w:t>
      </w:r>
    </w:p>
    <w:p>
      <w:pPr>
        <w:pStyle w:val="IntenseQuote"/>
      </w:pPr>
      <w:r>
        <w:t>normalizedVol = vixFuturesPrice / baselineVixFutures</w:t>
      </w:r>
    </w:p>
    <w:p>
      <w:pPr>
        <w:pStyle w:val="IntenseQuote"/>
      </w:pPr>
      <w:r>
        <w:t>volatilityFactor = sqrt(normalizedVol) when normalizedVol &gt; 1; otherwise normalizedVol</w:t>
      </w:r>
    </w:p>
    <w:p>
      <w:pPr>
        <w:pStyle w:val="IntenseQuote"/>
      </w:pPr>
      <w:r>
        <w:t>minLambda = (2 / pi) × baseLambda</w:t>
      </w:r>
    </w:p>
    <w:p>
      <w:pPr>
        <w:pStyle w:val="Heading2"/>
      </w:pPr>
      <w:r>
        <w:t>13.2 Shock Override Decision</w:t>
      </w:r>
    </w:p>
    <w:tbl>
      <w:tblPr>
        <w:tblW w:type="auto" w:w="0"/>
        <w:jc w:val="center"/>
        <w:tblLook w:firstColumn="1" w:firstRow="1" w:lastColumn="0" w:lastRow="0" w:noHBand="0" w:noVBand="1" w:val="04A0"/>
      </w:tblPr>
      <w:tblGrid>
        <w:gridCol w:w="2484"/>
        <w:gridCol w:w="2484"/>
        <w:gridCol w:w="2484"/>
        <w:gridCol w:w="2484"/>
      </w:tblGrid>
      <w:tr>
        <w:tc>
          <w:tcPr>
            <w:tcW w:type="dxa" w:w="2484"/>
            <w:shd w:fill="2F6B8A"/>
            <w:tcMar>
              <w:top w:w="80" w:type="dxa"/>
              <w:start w:w="100" w:type="dxa"/>
              <w:bottom w:w="80" w:type="dxa"/>
              <w:end w:w="100" w:type="dxa"/>
            </w:tcMar>
          </w:tcPr>
          <w:p>
            <w:r>
              <w:rPr>
                <w:b/>
                <w:color w:val="FFFFFF"/>
              </w:rPr>
              <w:t>Condition</w:t>
            </w:r>
          </w:p>
        </w:tc>
        <w:tc>
          <w:tcPr>
            <w:tcW w:type="dxa" w:w="2484"/>
            <w:shd w:fill="2F6B8A"/>
            <w:tcMar>
              <w:top w:w="80" w:type="dxa"/>
              <w:start w:w="100" w:type="dxa"/>
              <w:bottom w:w="80" w:type="dxa"/>
              <w:end w:w="100" w:type="dxa"/>
            </w:tcMar>
          </w:tcPr>
          <w:p>
            <w:r>
              <w:rPr>
                <w:b/>
                <w:color w:val="FFFFFF"/>
              </w:rPr>
              <w:t>Example rule</w:t>
            </w:r>
          </w:p>
        </w:tc>
        <w:tc>
          <w:tcPr>
            <w:tcW w:type="dxa" w:w="2484"/>
            <w:shd w:fill="2F6B8A"/>
            <w:tcMar>
              <w:top w:w="80" w:type="dxa"/>
              <w:start w:w="100" w:type="dxa"/>
              <w:bottom w:w="80" w:type="dxa"/>
              <w:end w:w="100" w:type="dxa"/>
            </w:tcMar>
          </w:tcPr>
          <w:p>
            <w:r>
              <w:rPr>
                <w:b/>
                <w:color w:val="FFFFFF"/>
              </w:rPr>
              <w:t>Effect</w:t>
            </w:r>
          </w:p>
        </w:tc>
        <w:tc>
          <w:tcPr>
            <w:tcW w:type="dxa" w:w="2484"/>
            <w:shd w:fill="2F6B8A"/>
            <w:tcMar>
              <w:top w:w="80" w:type="dxa"/>
              <w:start w:w="100" w:type="dxa"/>
              <w:bottom w:w="80" w:type="dxa"/>
              <w:end w:w="100" w:type="dxa"/>
            </w:tcMar>
          </w:tcPr>
          <w:p>
            <w:r>
              <w:rPr>
                <w:b/>
                <w:color w:val="FFFFFF"/>
              </w:rPr>
              <w:t>Priority</w:t>
            </w:r>
          </w:p>
        </w:tc>
      </w:tr>
      <w:tr>
        <w:tc>
          <w:tcPr>
            <w:tcW w:type="dxa" w:w="2484"/>
            <w:tcMar>
              <w:top w:w="80" w:type="dxa"/>
              <w:start w:w="100" w:type="dxa"/>
              <w:bottom w:w="80" w:type="dxa"/>
              <w:end w:w="100" w:type="dxa"/>
            </w:tcMar>
            <w:vAlign w:val="center"/>
          </w:tcPr>
          <w:p>
            <w:r>
              <w:t>VIX jump</w:t>
            </w:r>
          </w:p>
        </w:tc>
        <w:tc>
          <w:tcPr>
            <w:tcW w:type="dxa" w:w="2484"/>
            <w:tcMar>
              <w:top w:w="80" w:type="dxa"/>
              <w:start w:w="100" w:type="dxa"/>
              <w:bottom w:w="80" w:type="dxa"/>
              <w:end w:w="100" w:type="dxa"/>
            </w:tcMar>
            <w:vAlign w:val="center"/>
          </w:tcPr>
          <w:p>
            <w:r>
              <w:t>frontVix - priorFrontVix &gt;= jumpThreshold</w:t>
            </w:r>
          </w:p>
        </w:tc>
        <w:tc>
          <w:tcPr>
            <w:tcW w:type="dxa" w:w="2484"/>
            <w:tcMar>
              <w:top w:w="80" w:type="dxa"/>
              <w:start w:w="100" w:type="dxa"/>
              <w:bottom w:w="80" w:type="dxa"/>
              <w:end w:w="100" w:type="dxa"/>
            </w:tcMar>
            <w:vAlign w:val="center"/>
          </w:tcPr>
          <w:p>
            <w:r>
              <w:t>Mark transition risk elevated</w:t>
            </w:r>
          </w:p>
        </w:tc>
        <w:tc>
          <w:tcPr>
            <w:tcW w:type="dxa" w:w="2484"/>
            <w:tcMar>
              <w:top w:w="80" w:type="dxa"/>
              <w:start w:w="100" w:type="dxa"/>
              <w:bottom w:w="80" w:type="dxa"/>
              <w:end w:w="100" w:type="dxa"/>
            </w:tcMar>
            <w:vAlign w:val="center"/>
          </w:tcPr>
          <w:p>
            <w:r>
              <w:t>High</w:t>
            </w:r>
          </w:p>
        </w:tc>
      </w:tr>
      <w:tr>
        <w:tc>
          <w:tcPr>
            <w:tcW w:type="dxa" w:w="2484"/>
            <w:tcMar>
              <w:top w:w="80" w:type="dxa"/>
              <w:start w:w="100" w:type="dxa"/>
              <w:bottom w:w="80" w:type="dxa"/>
              <w:end w:w="100" w:type="dxa"/>
            </w:tcMar>
            <w:vAlign w:val="center"/>
          </w:tcPr>
          <w:p>
            <w:r>
              <w:t>Backwardation</w:t>
            </w:r>
          </w:p>
        </w:tc>
        <w:tc>
          <w:tcPr>
            <w:tcW w:type="dxa" w:w="2484"/>
            <w:tcMar>
              <w:top w:w="80" w:type="dxa"/>
              <w:start w:w="100" w:type="dxa"/>
              <w:bottom w:w="80" w:type="dxa"/>
              <w:end w:w="100" w:type="dxa"/>
            </w:tcMar>
            <w:vAlign w:val="center"/>
          </w:tcPr>
          <w:p>
            <w:r>
              <w:t>frontVix &gt; secondVix</w:t>
            </w:r>
          </w:p>
        </w:tc>
        <w:tc>
          <w:tcPr>
            <w:tcW w:type="dxa" w:w="2484"/>
            <w:tcMar>
              <w:top w:w="80" w:type="dxa"/>
              <w:start w:w="100" w:type="dxa"/>
              <w:bottom w:w="80" w:type="dxa"/>
              <w:end w:w="100" w:type="dxa"/>
            </w:tcMar>
            <w:vAlign w:val="center"/>
          </w:tcPr>
          <w:p>
            <w:r>
              <w:t>Disallow or sharply reduce short-premium entry</w:t>
            </w:r>
          </w:p>
        </w:tc>
        <w:tc>
          <w:tcPr>
            <w:tcW w:type="dxa" w:w="2484"/>
            <w:tcMar>
              <w:top w:w="80" w:type="dxa"/>
              <w:start w:w="100" w:type="dxa"/>
              <w:bottom w:w="80" w:type="dxa"/>
              <w:end w:w="100" w:type="dxa"/>
            </w:tcMar>
            <w:vAlign w:val="center"/>
          </w:tcPr>
          <w:p>
            <w:r>
              <w:t>High</w:t>
            </w:r>
          </w:p>
        </w:tc>
      </w:tr>
      <w:tr>
        <w:tc>
          <w:tcPr>
            <w:tcW w:type="dxa" w:w="2484"/>
            <w:tcMar>
              <w:top w:w="80" w:type="dxa"/>
              <w:start w:w="100" w:type="dxa"/>
              <w:bottom w:w="80" w:type="dxa"/>
              <w:end w:w="100" w:type="dxa"/>
            </w:tcMar>
            <w:vAlign w:val="center"/>
          </w:tcPr>
          <w:p>
            <w:r>
              <w:t>Deepening backwardation</w:t>
            </w:r>
          </w:p>
        </w:tc>
        <w:tc>
          <w:tcPr>
            <w:tcW w:type="dxa" w:w="2484"/>
            <w:tcMar>
              <w:top w:w="80" w:type="dxa"/>
              <w:start w:w="100" w:type="dxa"/>
              <w:bottom w:w="80" w:type="dxa"/>
              <w:end w:w="100" w:type="dxa"/>
            </w:tcMar>
            <w:vAlign w:val="center"/>
          </w:tcPr>
          <w:p>
            <w:r>
              <w:t>existing backwardation worsens by configured spread</w:t>
            </w:r>
          </w:p>
        </w:tc>
        <w:tc>
          <w:tcPr>
            <w:tcW w:type="dxa" w:w="2484"/>
            <w:tcMar>
              <w:top w:w="80" w:type="dxa"/>
              <w:start w:w="100" w:type="dxa"/>
              <w:bottom w:w="80" w:type="dxa"/>
              <w:end w:w="100" w:type="dxa"/>
            </w:tcMar>
            <w:vAlign w:val="center"/>
          </w:tcPr>
          <w:p>
            <w:r>
              <w:t>Escalate exit review and short-vol controls</w:t>
            </w:r>
          </w:p>
        </w:tc>
        <w:tc>
          <w:tcPr>
            <w:tcW w:type="dxa" w:w="2484"/>
            <w:tcMar>
              <w:top w:w="80" w:type="dxa"/>
              <w:start w:w="100" w:type="dxa"/>
              <w:bottom w:w="80" w:type="dxa"/>
              <w:end w:w="100" w:type="dxa"/>
            </w:tcMar>
            <w:vAlign w:val="center"/>
          </w:tcPr>
          <w:p>
            <w:r>
              <w:t>Very high</w:t>
            </w:r>
          </w:p>
        </w:tc>
      </w:tr>
      <w:tr>
        <w:tc>
          <w:tcPr>
            <w:tcW w:type="dxa" w:w="2484"/>
            <w:tcMar>
              <w:top w:w="80" w:type="dxa"/>
              <w:start w:w="100" w:type="dxa"/>
              <w:bottom w:w="80" w:type="dxa"/>
              <w:end w:w="100" w:type="dxa"/>
            </w:tcMar>
            <w:vAlign w:val="center"/>
          </w:tcPr>
          <w:p>
            <w:r>
              <w:t>Combined shock</w:t>
            </w:r>
          </w:p>
        </w:tc>
        <w:tc>
          <w:tcPr>
            <w:tcW w:type="dxa" w:w="2484"/>
            <w:tcMar>
              <w:top w:w="80" w:type="dxa"/>
              <w:start w:w="100" w:type="dxa"/>
              <w:bottom w:w="80" w:type="dxa"/>
              <w:end w:w="100" w:type="dxa"/>
            </w:tcMar>
            <w:vAlign w:val="center"/>
          </w:tcPr>
          <w:p>
            <w:r>
              <w:t>VIX jump and backwardation together</w:t>
            </w:r>
          </w:p>
        </w:tc>
        <w:tc>
          <w:tcPr>
            <w:tcW w:type="dxa" w:w="2484"/>
            <w:tcMar>
              <w:top w:w="80" w:type="dxa"/>
              <w:start w:w="100" w:type="dxa"/>
              <w:bottom w:w="80" w:type="dxa"/>
              <w:end w:w="100" w:type="dxa"/>
            </w:tcMar>
            <w:vAlign w:val="center"/>
          </w:tcPr>
          <w:p>
            <w:r>
              <w:t>Force override regardless of normal threshold</w:t>
            </w:r>
          </w:p>
        </w:tc>
        <w:tc>
          <w:tcPr>
            <w:tcW w:type="dxa" w:w="2484"/>
            <w:tcMar>
              <w:top w:w="80" w:type="dxa"/>
              <w:start w:w="100" w:type="dxa"/>
              <w:bottom w:w="80" w:type="dxa"/>
              <w:end w:w="100" w:type="dxa"/>
            </w:tcMar>
            <w:vAlign w:val="center"/>
          </w:tcPr>
          <w:p>
            <w:r>
              <w:t>Critical</w:t>
            </w:r>
          </w:p>
        </w:tc>
      </w:tr>
    </w:tbl>
    <w:p>
      <w:pPr>
        <w:pStyle w:val="Heading2"/>
      </w:pPr>
      <w:r>
        <w:t>13.3 Monthly Sleeve Confirmation Rules</w:t>
      </w:r>
    </w:p>
    <w:p>
      <w:r>
        <w:t>Use daily bars for the monthly sleeve unless a deliberately ultra-slow control model is desired.</w:t>
      </w:r>
    </w:p>
    <w:p>
      <w:pPr>
        <w:pStyle w:val="ListBullet"/>
      </w:pPr>
      <w:r>
        <w:t>Bullish confirmation: price &gt; 20EMA &gt; 50EMA &gt; 200EMA</w:t>
      </w:r>
    </w:p>
    <w:p>
      <w:pPr>
        <w:pStyle w:val="ListBullet"/>
      </w:pPr>
      <w:r>
        <w:t>Bearish confirmation: price &lt; 20EMA &lt; 50EMA &lt; 200EMA</w:t>
      </w:r>
    </w:p>
    <w:p>
      <w:pPr>
        <w:pStyle w:val="ListBullet"/>
      </w:pPr>
      <w:r>
        <w:t>Recommended refinement: require 50EMA slope to agree with the stack</w:t>
      </w:r>
    </w:p>
    <w:p>
      <w:pPr>
        <w:pStyle w:val="ListBullet"/>
      </w:pPr>
      <w:r>
        <w:t>Optional persistence buffer: require the condition to persist for N bars or enforce a small distance above/below the 20EMA to reduce flip noise</w:t>
      </w:r>
    </w:p>
    <w:p>
      <w:pPr>
        <w:pStyle w:val="Heading1"/>
      </w:pPr>
      <w:r>
        <w:t>14. Responsibility Matrix</w:t>
      </w:r>
    </w:p>
    <w:tbl>
      <w:tblPr>
        <w:tblW w:type="auto" w:w="0"/>
        <w:jc w:val="center"/>
        <w:tblLook w:firstColumn="1" w:firstRow="1" w:lastColumn="0" w:lastRow="0" w:noHBand="0" w:noVBand="1" w:val="04A0"/>
      </w:tblPr>
      <w:tblGrid>
        <w:gridCol w:w="3312"/>
        <w:gridCol w:w="3312"/>
        <w:gridCol w:w="3312"/>
      </w:tblGrid>
      <w:tr>
        <w:tc>
          <w:tcPr>
            <w:tcW w:type="dxa" w:w="3312"/>
            <w:shd w:fill="2F6B8A"/>
            <w:tcMar>
              <w:top w:w="80" w:type="dxa"/>
              <w:start w:w="100" w:type="dxa"/>
              <w:bottom w:w="80" w:type="dxa"/>
              <w:end w:w="100" w:type="dxa"/>
            </w:tcMar>
          </w:tcPr>
          <w:p>
            <w:r>
              <w:rPr>
                <w:b/>
                <w:color w:val="FFFFFF"/>
              </w:rPr>
              <w:t>Component</w:t>
            </w:r>
          </w:p>
        </w:tc>
        <w:tc>
          <w:tcPr>
            <w:tcW w:type="dxa" w:w="3312"/>
            <w:shd w:fill="2F6B8A"/>
            <w:tcMar>
              <w:top w:w="80" w:type="dxa"/>
              <w:start w:w="100" w:type="dxa"/>
              <w:bottom w:w="80" w:type="dxa"/>
              <w:end w:w="100" w:type="dxa"/>
            </w:tcMar>
          </w:tcPr>
          <w:p>
            <w:r>
              <w:rPr>
                <w:b/>
                <w:color w:val="FFFFFF"/>
              </w:rPr>
              <w:t>Allowed responsibilities</w:t>
            </w:r>
          </w:p>
        </w:tc>
        <w:tc>
          <w:tcPr>
            <w:tcW w:type="dxa" w:w="3312"/>
            <w:shd w:fill="2F6B8A"/>
            <w:tcMar>
              <w:top w:w="80" w:type="dxa"/>
              <w:start w:w="100" w:type="dxa"/>
              <w:bottom w:w="80" w:type="dxa"/>
              <w:end w:w="100" w:type="dxa"/>
            </w:tcMar>
          </w:tcPr>
          <w:p>
            <w:r>
              <w:rPr>
                <w:b/>
                <w:color w:val="FFFFFF"/>
              </w:rPr>
              <w:t>Explicitly forbidden</w:t>
            </w:r>
          </w:p>
        </w:tc>
      </w:tr>
      <w:tr>
        <w:tc>
          <w:tcPr>
            <w:tcW w:type="dxa" w:w="3312"/>
            <w:tcMar>
              <w:top w:w="80" w:type="dxa"/>
              <w:start w:w="100" w:type="dxa"/>
              <w:bottom w:w="80" w:type="dxa"/>
              <w:end w:w="100" w:type="dxa"/>
            </w:tcMar>
            <w:vAlign w:val="center"/>
          </w:tcPr>
          <w:p>
            <w:r>
              <w:t>OpenClaw orchestrator</w:t>
            </w:r>
          </w:p>
        </w:tc>
        <w:tc>
          <w:tcPr>
            <w:tcW w:type="dxa" w:w="3312"/>
            <w:tcMar>
              <w:top w:w="80" w:type="dxa"/>
              <w:start w:w="100" w:type="dxa"/>
              <w:bottom w:w="80" w:type="dxa"/>
              <w:end w:w="100" w:type="dxa"/>
            </w:tcMar>
            <w:vAlign w:val="center"/>
          </w:tcPr>
          <w:p>
            <w:r>
              <w:t>Webhook intake, workflow selection, context gathering, recommendation generation, abstention</w:t>
            </w:r>
          </w:p>
        </w:tc>
        <w:tc>
          <w:tcPr>
            <w:tcW w:type="dxa" w:w="3312"/>
            <w:tcMar>
              <w:top w:w="80" w:type="dxa"/>
              <w:start w:w="100" w:type="dxa"/>
              <w:bottom w:w="80" w:type="dxa"/>
              <w:end w:w="100" w:type="dxa"/>
            </w:tcMar>
            <w:vAlign w:val="center"/>
          </w:tcPr>
          <w:p>
            <w:r>
              <w:t>Orders, fills, position mutation, risk overrides, policy mutation</w:t>
            </w:r>
          </w:p>
        </w:tc>
      </w:tr>
      <w:tr>
        <w:tc>
          <w:tcPr>
            <w:tcW w:type="dxa" w:w="3312"/>
            <w:tcMar>
              <w:top w:w="80" w:type="dxa"/>
              <w:start w:w="100" w:type="dxa"/>
              <w:bottom w:w="80" w:type="dxa"/>
              <w:end w:w="100" w:type="dxa"/>
            </w:tcMar>
            <w:vAlign w:val="center"/>
          </w:tcPr>
          <w:p>
            <w:r>
              <w:t>MCP bridge</w:t>
            </w:r>
          </w:p>
        </w:tc>
        <w:tc>
          <w:tcPr>
            <w:tcW w:type="dxa" w:w="3312"/>
            <w:tcMar>
              <w:top w:w="80" w:type="dxa"/>
              <w:start w:w="100" w:type="dxa"/>
              <w:bottom w:w="80" w:type="dxa"/>
              <w:end w:w="100" w:type="dxa"/>
            </w:tcMar>
            <w:vAlign w:val="center"/>
          </w:tcPr>
          <w:p>
            <w:r>
              <w:t>Brokered read tools, signed recommendation publication, audit of tool use</w:t>
            </w:r>
          </w:p>
        </w:tc>
        <w:tc>
          <w:tcPr>
            <w:tcW w:type="dxa" w:w="3312"/>
            <w:tcMar>
              <w:top w:w="80" w:type="dxa"/>
              <w:start w:w="100" w:type="dxa"/>
              <w:bottom w:w="80" w:type="dxa"/>
              <w:end w:w="100" w:type="dxa"/>
            </w:tcMar>
            <w:vAlign w:val="center"/>
          </w:tcPr>
          <w:p>
            <w:r>
              <w:t>Execution commands, direct portfolio mutation</w:t>
            </w:r>
          </w:p>
        </w:tc>
      </w:tr>
      <w:tr>
        <w:tc>
          <w:tcPr>
            <w:tcW w:type="dxa" w:w="3312"/>
            <w:tcMar>
              <w:top w:w="80" w:type="dxa"/>
              <w:start w:w="100" w:type="dxa"/>
              <w:bottom w:w="80" w:type="dxa"/>
              <w:end w:w="100" w:type="dxa"/>
            </w:tcMar>
            <w:vAlign w:val="center"/>
          </w:tcPr>
          <w:p>
            <w:r>
              <w:t>Recommendation firewall</w:t>
            </w:r>
          </w:p>
        </w:tc>
        <w:tc>
          <w:tcPr>
            <w:tcW w:type="dxa" w:w="3312"/>
            <w:tcMar>
              <w:top w:w="80" w:type="dxa"/>
              <w:start w:w="100" w:type="dxa"/>
              <w:bottom w:w="80" w:type="dxa"/>
              <w:end w:w="100" w:type="dxa"/>
            </w:tcMar>
            <w:vAlign w:val="center"/>
          </w:tcPr>
          <w:p>
            <w:r>
              <w:t>Schema checks, signature checks, TTL checks, duplicate suppression, workflow/model allowlists</w:t>
            </w:r>
          </w:p>
        </w:tc>
        <w:tc>
          <w:tcPr>
            <w:tcW w:type="dxa" w:w="3312"/>
            <w:tcMar>
              <w:top w:w="80" w:type="dxa"/>
              <w:start w:w="100" w:type="dxa"/>
              <w:bottom w:w="80" w:type="dxa"/>
              <w:end w:w="100" w:type="dxa"/>
            </w:tcMar>
            <w:vAlign w:val="center"/>
          </w:tcPr>
          <w:p>
            <w:r>
              <w:t>Trade selection or execution</w:t>
            </w:r>
          </w:p>
        </w:tc>
      </w:tr>
      <w:tr>
        <w:tc>
          <w:tcPr>
            <w:tcW w:type="dxa" w:w="3312"/>
            <w:tcMar>
              <w:top w:w="80" w:type="dxa"/>
              <w:start w:w="100" w:type="dxa"/>
              <w:bottom w:w="80" w:type="dxa"/>
              <w:end w:w="100" w:type="dxa"/>
            </w:tcMar>
            <w:vAlign w:val="center"/>
          </w:tcPr>
          <w:p>
            <w:r>
              <w:t>Rule engine and deterministic intent layer</w:t>
            </w:r>
          </w:p>
        </w:tc>
        <w:tc>
          <w:tcPr>
            <w:tcW w:type="dxa" w:w="3312"/>
            <w:tcMar>
              <w:top w:w="80" w:type="dxa"/>
              <w:start w:w="100" w:type="dxa"/>
              <w:bottom w:w="80" w:type="dxa"/>
              <w:end w:w="100" w:type="dxa"/>
            </w:tcMar>
            <w:vAlign w:val="center"/>
          </w:tcPr>
          <w:p>
            <w:r>
              <w:t>Recommendation evaluation, candidate generation control, risk approval, action issuance</w:t>
            </w:r>
          </w:p>
        </w:tc>
        <w:tc>
          <w:tcPr>
            <w:tcW w:type="dxa" w:w="3312"/>
            <w:tcMar>
              <w:top w:w="80" w:type="dxa"/>
              <w:start w:w="100" w:type="dxa"/>
              <w:bottom w:w="80" w:type="dxa"/>
              <w:end w:w="100" w:type="dxa"/>
            </w:tcMar>
            <w:vAlign w:val="center"/>
          </w:tcPr>
          <w:p>
            <w:r>
              <w:t>Trusting advisory output without policy validation</w:t>
            </w:r>
          </w:p>
        </w:tc>
      </w:tr>
      <w:tr>
        <w:tc>
          <w:tcPr>
            <w:tcW w:type="dxa" w:w="3312"/>
            <w:tcMar>
              <w:top w:w="80" w:type="dxa"/>
              <w:start w:w="100" w:type="dxa"/>
              <w:bottom w:w="80" w:type="dxa"/>
              <w:end w:w="100" w:type="dxa"/>
            </w:tcMar>
            <w:vAlign w:val="center"/>
          </w:tcPr>
          <w:p>
            <w:r>
              <w:t>OMS / execution router</w:t>
            </w:r>
          </w:p>
        </w:tc>
        <w:tc>
          <w:tcPr>
            <w:tcW w:type="dxa" w:w="3312"/>
            <w:tcMar>
              <w:top w:w="80" w:type="dxa"/>
              <w:start w:w="100" w:type="dxa"/>
              <w:bottom w:w="80" w:type="dxa"/>
              <w:end w:w="100" w:type="dxa"/>
            </w:tcMar>
            <w:vAlign w:val="center"/>
          </w:tcPr>
          <w:p>
            <w:r>
              <w:t>Order submission, cancel/replace, fill handling</w:t>
            </w:r>
          </w:p>
        </w:tc>
        <w:tc>
          <w:tcPr>
            <w:tcW w:type="dxa" w:w="3312"/>
            <w:tcMar>
              <w:top w:w="80" w:type="dxa"/>
              <w:start w:w="100" w:type="dxa"/>
              <w:bottom w:w="80" w:type="dxa"/>
              <w:end w:w="100" w:type="dxa"/>
            </w:tcMar>
            <w:vAlign w:val="center"/>
          </w:tcPr>
          <w:p>
            <w:r>
              <w:t>Strategy judgement</w:t>
            </w:r>
          </w:p>
        </w:tc>
      </w:tr>
    </w:tbl>
    <w:p>
      <w:pPr>
        <w:pStyle w:val="Heading1"/>
      </w:pPr>
      <w:r>
        <w:t>15. NATS Subject Blueprint (Abbreviated)</w:t>
      </w:r>
    </w:p>
    <w:p>
      <w:pPr>
        <w:pStyle w:val="ListBullet"/>
      </w:pPr>
      <w:r>
        <w:t>trade.signal.intrinsic.raised</w:t>
      </w:r>
    </w:p>
    <w:p>
      <w:pPr>
        <w:pStyle w:val="ListBullet"/>
      </w:pPr>
      <w:r>
        <w:t>trade.signal.exit_review.raised</w:t>
      </w:r>
    </w:p>
    <w:p>
      <w:pPr>
        <w:pStyle w:val="ListBullet"/>
      </w:pPr>
      <w:r>
        <w:t>trade.agent.workflow.start</w:t>
      </w:r>
    </w:p>
    <w:p>
      <w:pPr>
        <w:pStyle w:val="ListBullet"/>
      </w:pPr>
      <w:r>
        <w:t>trade.agent.recommendation.produced</w:t>
      </w:r>
    </w:p>
    <w:p>
      <w:pPr>
        <w:pStyle w:val="ListBullet"/>
      </w:pPr>
      <w:r>
        <w:t>trade.recommendation.received</w:t>
      </w:r>
    </w:p>
    <w:p>
      <w:pPr>
        <w:pStyle w:val="ListBullet"/>
      </w:pPr>
      <w:r>
        <w:t>trade.recommendation.validated</w:t>
      </w:r>
    </w:p>
    <w:p>
      <w:pPr>
        <w:pStyle w:val="ListBullet"/>
      </w:pPr>
      <w:r>
        <w:t>trade.recommendation.rejected</w:t>
      </w:r>
    </w:p>
    <w:p>
      <w:pPr>
        <w:pStyle w:val="ListBullet"/>
      </w:pPr>
      <w:r>
        <w:t>trade.intent.created</w:t>
      </w:r>
    </w:p>
    <w:p>
      <w:pPr>
        <w:pStyle w:val="ListBullet"/>
      </w:pPr>
      <w:r>
        <w:t>trade.intent.approved</w:t>
      </w:r>
    </w:p>
    <w:p>
      <w:pPr>
        <w:pStyle w:val="ListBullet"/>
      </w:pPr>
      <w:r>
        <w:t>trade.action.enter.requested</w:t>
      </w:r>
    </w:p>
    <w:p>
      <w:pPr>
        <w:pStyle w:val="ListBullet"/>
      </w:pPr>
      <w:r>
        <w:t>trade.action.exit.requested</w:t>
      </w:r>
    </w:p>
    <w:p>
      <w:pPr>
        <w:pStyle w:val="ListBullet"/>
      </w:pPr>
      <w:r>
        <w:t>trade.order.submitted</w:t>
      </w:r>
    </w:p>
    <w:p>
      <w:pPr>
        <w:pStyle w:val="ListBullet"/>
      </w:pPr>
      <w:r>
        <w:t>trade.order.filled</w:t>
      </w:r>
    </w:p>
    <w:p>
      <w:pPr>
        <w:pStyle w:val="ListBullet"/>
      </w:pPr>
      <w:r>
        <w:t>trade.position.updated</w:t>
      </w:r>
    </w:p>
    <w:p>
      <w:pPr>
        <w:pStyle w:val="ListBullet"/>
      </w:pPr>
      <w:r>
        <w:t>trade.audit.appended</w:t>
      </w:r>
    </w:p>
    <w:p>
      <w:pPr>
        <w:pStyle w:val="Heading1"/>
      </w:pPr>
      <w:r>
        <w:t>16. Implementation Refinements Added in This Revision</w:t>
      </w:r>
    </w:p>
    <w:p>
      <w:r>
        <w:t>Baseline VIX futures, base lambda, minimum lambda factor, VIX jump threshold, backwardation threshold, and effective trading days should all be configurable in the trusted core and versioned for replay.</w:t>
      </w:r>
    </w:p>
    <w:p>
      <w:r>
        <w:t>Recommendations should remain strategy-family level where possible. The core should continue to generate exact expiries, strikes, and sizing. This is especially important after adding EMA confirmation and shock override logic because those controls change eligibility, not merely ranking.</w:t>
      </w:r>
    </w:p>
    <w:p>
      <w:r>
        <w:t>Exit workflows should subscribe to both shock override and ADX-transition events. In practice, a short-vol position should not be allowed to ignore simultaneous fast-ADX rise and backwardation.</w:t>
      </w:r>
    </w:p>
    <w:p>
      <w:r>
        <w:t>Replay should store the exact values used for lambda, threshold, VIX jump state, term structure state, and EMA confirmation state so post-trade analysis can explain why a recommendation was approved, rejected, or substituted.</w:t>
      </w:r>
    </w:p>
    <w:p>
      <w:pPr>
        <w:pStyle w:val="Heading1"/>
      </w:pPr>
      <w:r>
        <w:t>17. Code Appendix Overview</w:t>
      </w:r>
    </w:p>
    <w:p>
      <w:r>
        <w:t>The accompanying C# starter file includes message contracts, subject constants, threshold calculation with optional shock override, and pseudo-code for the deterministic recommendation-to-intent pipeline. The code is intended as a starter boundary for your existing actor-model solution rather than a complete compiled application.</w:t>
      </w:r>
    </w:p>
    <w:p>
      <w:pPr>
        <w:pStyle w:val="Heading2"/>
      </w:pPr>
      <w:r>
        <w:t>17.1 Intrinsic Threshold Example</w:t>
      </w:r>
    </w:p>
    <w:p>
      <w:pPr>
        <w:ind w:left="360"/>
      </w:pPr>
      <w:r>
        <w:rPr>
          <w:rFonts w:ascii="Consolas" w:hAnsi="Consolas"/>
          <w:sz w:val="18"/>
        </w:rPr>
        <w:t>public static double CalculateThreshold(double vixFuturesPrice, int tradingDays, IntrinsicThresholdConfig config, ShockState? shock = null)</w:t>
      </w:r>
    </w:p>
    <w:p>
      <w:pPr>
        <w:ind w:left="360"/>
      </w:pPr>
      <w:r>
        <w:rPr>
          <w:rFonts w:ascii="Consolas" w:hAnsi="Consolas"/>
          <w:sz w:val="18"/>
        </w:rPr>
        <w:t>{</w:t>
      </w:r>
    </w:p>
    <w:p>
      <w:pPr>
        <w:ind w:left="360"/>
      </w:pPr>
      <w:r>
        <w:rPr>
          <w:rFonts w:ascii="Consolas" w:hAnsi="Consolas"/>
          <w:sz w:val="18"/>
        </w:rPr>
        <w:t xml:space="preserve">    if (tradingDays &lt;= 1) throw new ArgumentOutOfRangeException(nameof(tradingDays));</w:t>
      </w:r>
    </w:p>
    <w:p>
      <w:pPr>
        <w:ind w:left="360"/>
      </w:pPr>
      <w:r>
        <w:rPr>
          <w:rFonts w:ascii="Consolas" w:hAnsi="Consolas"/>
          <w:sz w:val="18"/>
        </w:rPr>
        <w:t xml:space="preserve">    var lambda = CalculateLambda(vixFuturesPrice, config);</w:t>
      </w:r>
    </w:p>
    <w:p>
      <w:pPr>
        <w:ind w:left="360"/>
      </w:pPr>
      <w:r>
        <w:rPr>
          <w:rFonts w:ascii="Consolas" w:hAnsi="Consolas"/>
          <w:sz w:val="18"/>
        </w:rPr>
        <w:t xml:space="preserve">    var threshold = lambda * Math.Log(tradingDays);</w:t>
      </w:r>
    </w:p>
    <w:p>
      <w:pPr>
        <w:ind w:left="360"/>
      </w:pPr>
      <w:r>
        <w:rPr>
          <w:rFonts w:ascii="Consolas" w:hAnsi="Consolas"/>
          <w:sz w:val="18"/>
        </w:rPr>
      </w:r>
    </w:p>
    <w:p>
      <w:pPr>
        <w:ind w:left="360"/>
      </w:pPr>
      <w:r>
        <w:rPr>
          <w:rFonts w:ascii="Consolas" w:hAnsi="Consolas"/>
          <w:sz w:val="18"/>
        </w:rPr>
        <w:t xml:space="preserve">    if (shock is null) return threshold;</w:t>
      </w:r>
    </w:p>
    <w:p>
      <w:pPr>
        <w:ind w:left="360"/>
      </w:pPr>
      <w:r>
        <w:rPr>
          <w:rFonts w:ascii="Consolas" w:hAnsi="Consolas"/>
          <w:sz w:val="18"/>
        </w:rPr>
        <w:t xml:space="preserve">    if (shock.IsCombinedShock) return Math.Min(threshold, config.CombinedShockThresholdCap);</w:t>
      </w:r>
    </w:p>
    <w:p>
      <w:pPr>
        <w:ind w:left="360"/>
      </w:pPr>
      <w:r>
        <w:rPr>
          <w:rFonts w:ascii="Consolas" w:hAnsi="Consolas"/>
          <w:sz w:val="18"/>
        </w:rPr>
        <w:t xml:space="preserve">    if (shock.IsVixJump || shock.IsBackwardation) return Math.Min(threshold, threshold * config.ShockReductionFactor);</w:t>
      </w:r>
    </w:p>
    <w:p>
      <w:pPr>
        <w:ind w:left="360"/>
      </w:pPr>
      <w:r>
        <w:rPr>
          <w:rFonts w:ascii="Consolas" w:hAnsi="Consolas"/>
          <w:sz w:val="18"/>
        </w:rPr>
      </w:r>
    </w:p>
    <w:p>
      <w:pPr>
        <w:ind w:left="360"/>
      </w:pPr>
      <w:r>
        <w:rPr>
          <w:rFonts w:ascii="Consolas" w:hAnsi="Consolas"/>
          <w:sz w:val="18"/>
        </w:rPr>
        <w:t xml:space="preserve">    return threshold;</w:t>
      </w:r>
    </w:p>
    <w:p>
      <w:pPr>
        <w:ind w:left="360"/>
      </w:pPr>
      <w:r>
        <w:rPr>
          <w:rFonts w:ascii="Consolas" w:hAnsi="Consolas"/>
          <w:sz w:val="18"/>
        </w:rPr>
        <w:t>}</w:t>
      </w:r>
    </w:p>
    <w:p>
      <w:pPr>
        <w:pStyle w:val="Heading2"/>
      </w:pPr>
      <w:r>
        <w:t>17.2 Monthly Confirmation Example</w:t>
      </w:r>
    </w:p>
    <w:p>
      <w:pPr>
        <w:ind w:left="360"/>
      </w:pPr>
      <w:r>
        <w:rPr>
          <w:rFonts w:ascii="Consolas" w:hAnsi="Consolas"/>
          <w:sz w:val="18"/>
        </w:rPr>
        <w:t>public static bool IsMonthlyBullConfirmed(decimal price, decimal ema20, decimal ema50, decimal ema200, decimal ema50Slope)</w:t>
      </w:r>
    </w:p>
    <w:p>
      <w:pPr>
        <w:ind w:left="360"/>
      </w:pPr>
      <w:r>
        <w:rPr>
          <w:rFonts w:ascii="Consolas" w:hAnsi="Consolas"/>
          <w:sz w:val="18"/>
        </w:rPr>
        <w:t xml:space="preserve">    =&gt; price &gt; ema20 &amp;&amp; ema20 &gt; ema50 &amp;&amp; ema50 &gt; ema200 &amp;&amp; ema50Slope &gt; 0m;</w:t>
      </w:r>
    </w:p>
    <w:p>
      <w:pPr>
        <w:pStyle w:val="Heading1"/>
      </w:pPr>
      <w:r>
        <w:t>18. Final Recommendation</w:t>
      </w:r>
    </w:p>
    <w:p>
      <w:r>
        <w:t>Adopt the threshold formula and EMA confirmation changes, but implement them with configuration, replay visibility, and explicit shock override. Treat intrinsic-time events as workflow triggers, not as action authority. Preserve OpenClaw in a bounded orchestration role and keep all deterministic trade actions and order execution fully contained within the separately deployed core trading system.</w:t>
      </w:r>
    </w:p>
    <w:sectPr w:rsidR="00FC693F" w:rsidRPr="0006063C" w:rsidSect="00034616">
      <w:footerReference w:type="default" r:id="rId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Agentic AI Trading System Blueprint • Updated Strategy Specification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6B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