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V1 Production Intrinsic-Time ES Futures Options Trading Strategy</w:t>
      </w:r>
    </w:p>
    <w:p>
      <w:r>
        <w:t>This document describes the recommended Version 1 (V1) production trading system for trading options on E-mini S&amp;P 500 Futures (ES futures options). The system uses intrinsic-time events generated from ES futures price movement to drive weekly directional option strategies and monthly volatility premium strategies.</w:t>
      </w:r>
    </w:p>
    <w:p>
      <w:pPr>
        <w:pStyle w:val="Heading1"/>
      </w:pPr>
      <w:r>
        <w:t>1. High-Level Strategy Overview</w:t>
      </w:r>
    </w:p>
    <w:p>
      <w:pPr>
        <w:pStyle w:val="ListBullet"/>
      </w:pPr>
      <w:r>
        <w:t>Underlying Signal Engine: ES Futures</w:t>
      </w:r>
    </w:p>
    <w:p>
      <w:pPr>
        <w:pStyle w:val="ListBullet"/>
      </w:pPr>
      <w:r>
        <w:t>Execution Vehicle: Options on ES Futures</w:t>
      </w:r>
    </w:p>
    <w:p>
      <w:pPr>
        <w:pStyle w:val="ListBullet"/>
      </w:pPr>
      <w:r>
        <w:t>Primary Concept: Intrinsic-Time Event Detection</w:t>
      </w:r>
    </w:p>
    <w:p>
      <w:pPr>
        <w:pStyle w:val="ListBullet"/>
      </w:pPr>
      <w:r>
        <w:t>Weekly Layer: Directional Vertical Spreads</w:t>
      </w:r>
    </w:p>
    <w:p>
      <w:pPr>
        <w:pStyle w:val="ListBullet"/>
      </w:pPr>
      <w:r>
        <w:t>Monthly Layer: Iron Condors</w:t>
      </w:r>
    </w:p>
    <w:p>
      <w:pPr>
        <w:pStyle w:val="ListBullet"/>
      </w:pPr>
      <w:r>
        <w:t>Primary Goals:</w:t>
      </w:r>
    </w:p>
    <w:p>
      <w:pPr>
        <w:pStyle w:val="ListBullet"/>
      </w:pPr>
      <w:r>
        <w:t xml:space="preserve">  • Capture directional weekly movement</w:t>
      </w:r>
    </w:p>
    <w:p>
      <w:pPr>
        <w:pStyle w:val="ListBullet"/>
      </w:pPr>
      <w:r>
        <w:t xml:space="preserve">  • Harvest premium during stable monthly volatility regimes</w:t>
      </w:r>
    </w:p>
    <w:p>
      <w:pPr>
        <w:pStyle w:val="ListBullet"/>
      </w:pPr>
      <w:r>
        <w:t xml:space="preserve">  • Avoid structurally dangerous market environments</w:t>
      </w:r>
    </w:p>
    <w:p>
      <w:pPr>
        <w:pStyle w:val="Heading1"/>
      </w:pPr>
      <w:r>
        <w:t>2. Core Philosophy</w:t>
      </w:r>
    </w:p>
    <w:p>
      <w:r>
        <w:t>The system is event-driven rather than candle-driven. Traditional systems evaluate trades on fixed bars such as 5-minute, hourly, or daily candles. This system instead reacts when price movement exceeds adaptive intrinsic thresholds. These thresholds are dynamically scaled using volatility and time horizon.</w:t>
      </w:r>
    </w:p>
    <w:p>
      <w:pPr>
        <w:pStyle w:val="Heading1"/>
      </w:pPr>
      <w:r>
        <w:t>3. Intrinsic Time Explained</w:t>
      </w:r>
    </w:p>
    <w:p>
      <w:r>
        <w:t>Intrinsic time measures market movement based on meaningful price movement rather than fixed clock time. An intrinsic event occurs when ES futures move far enough from a reference anchor price to exceed an adaptive threshold.</w:t>
      </w:r>
    </w:p>
    <w:p>
      <w:r>
        <w:t>Example: If the adaptive weekly intrinsic threshold is 40 ES points, then an intrinsic event fires whenever ES futures move at least 40 points from the current anchor reference.</w:t>
      </w:r>
    </w:p>
    <w:p>
      <w:pPr>
        <w:pStyle w:val="Heading1"/>
      </w:pPr>
      <w:r>
        <w:t>4. Adaptive Intrinsic Threshold Engine</w:t>
      </w:r>
    </w:p>
    <w:p>
      <w:r>
        <w:t>The adaptive threshold engine continuously recalculates thresholds for each trading horizon.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Daily</w:t>
            </w:r>
          </w:p>
        </w:tc>
        <w:tc>
          <w:tcPr>
            <w:tcW w:type="dxa" w:w="4320"/>
          </w:tcPr>
          <w:p>
            <w:r>
              <w:t>Used internally for volatility calculations and future expansion</w:t>
            </w:r>
          </w:p>
        </w:tc>
      </w:tr>
      <w:tr>
        <w:tc>
          <w:tcPr>
            <w:tcW w:type="dxa" w:w="4320"/>
          </w:tcPr>
          <w:p>
            <w:r>
              <w:t>Weekly</w:t>
            </w:r>
          </w:p>
        </w:tc>
        <w:tc>
          <w:tcPr>
            <w:tcW w:type="dxa" w:w="4320"/>
          </w:tcPr>
          <w:p>
            <w:r>
              <w:t>Primary directional trading layer</w:t>
            </w:r>
          </w:p>
        </w:tc>
      </w:tr>
      <w:tr>
        <w:tc>
          <w:tcPr>
            <w:tcW w:type="dxa" w:w="4320"/>
          </w:tcPr>
          <w:p>
            <w:r>
              <w:t>Monthly</w:t>
            </w:r>
          </w:p>
        </w:tc>
        <w:tc>
          <w:tcPr>
            <w:tcW w:type="dxa" w:w="4320"/>
          </w:tcPr>
          <w:p>
            <w:r>
              <w:t>Primary iron condor regime layer</w:t>
            </w:r>
          </w:p>
        </w:tc>
      </w:tr>
      <w:tr>
        <w:tc>
          <w:tcPr>
            <w:tcW w:type="dxa" w:w="4320"/>
          </w:tcPr>
          <w:p>
            <w:r>
              <w:t>Quarterly</w:t>
            </w:r>
          </w:p>
        </w:tc>
        <w:tc>
          <w:tcPr>
            <w:tcW w:type="dxa" w:w="4320"/>
          </w:tcPr>
          <w:p>
            <w:r>
              <w:t>Reserved for future versions</w:t>
            </w:r>
          </w:p>
        </w:tc>
      </w:tr>
    </w:tbl>
    <w:p>
      <w:r>
        <w:t>Thresholds are calculated using:</w:t>
      </w:r>
    </w:p>
    <w:p>
      <w:pPr>
        <w:pStyle w:val="IntenseQuote"/>
      </w:pPr>
      <w:r>
        <w:t>Threshold = DailyBaseThreshold × sqrt(TimeDays) × ATRFactor × VIXFactor</w:t>
      </w:r>
    </w:p>
    <w:p>
      <w:pPr>
        <w:pStyle w:val="Heading1"/>
      </w:pPr>
      <w:r>
        <w:t>5. ATR (Average True Range)</w:t>
      </w:r>
    </w:p>
    <w:p>
      <w:r>
        <w:t>ATR measures market volatility. Higher ATR means larger market movement.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Horizon</w:t>
            </w:r>
          </w:p>
        </w:tc>
        <w:tc>
          <w:tcPr>
            <w:tcW w:type="dxa" w:w="2880"/>
          </w:tcPr>
          <w:p>
            <w:r>
              <w:t>ATR Source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Daily ATR(14)</w:t>
            </w:r>
          </w:p>
        </w:tc>
        <w:tc>
          <w:tcPr>
            <w:tcW w:type="dxa" w:w="2880"/>
          </w:tcPr>
          <w:p>
            <w:r>
              <w:t>Directional swing volatility</w:t>
            </w:r>
          </w:p>
        </w:tc>
      </w:tr>
      <w:tr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Weekly ATR(14)</w:t>
            </w:r>
          </w:p>
        </w:tc>
        <w:tc>
          <w:tcPr>
            <w:tcW w:type="dxa" w:w="2880"/>
          </w:tcPr>
          <w:p>
            <w:r>
              <w:t>Medium-term volatility regime</w:t>
            </w:r>
          </w:p>
        </w:tc>
      </w:tr>
    </w:tbl>
    <w:p>
      <w:pPr>
        <w:pStyle w:val="Heading1"/>
      </w:pPr>
      <w:r>
        <w:t>6. VIX and Volatility Regimes</w:t>
      </w:r>
    </w:p>
    <w:p>
      <w:r>
        <w:t>The VIX is the CBOE Volatility Index and represents expected market volatility.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VIX Range</w:t>
            </w:r>
          </w:p>
        </w:tc>
        <w:tc>
          <w:tcPr>
            <w:tcW w:type="dxa" w:w="2880"/>
          </w:tcPr>
          <w:p>
            <w:r>
              <w:t>Market Regime</w:t>
            </w:r>
          </w:p>
        </w:tc>
        <w:tc>
          <w:tcPr>
            <w:tcW w:type="dxa" w:w="2880"/>
          </w:tcPr>
          <w:p>
            <w:r>
              <w:t>Allowed Strategies</w:t>
            </w:r>
          </w:p>
        </w:tc>
      </w:tr>
      <w:tr>
        <w:tc>
          <w:tcPr>
            <w:tcW w:type="dxa" w:w="2880"/>
          </w:tcPr>
          <w:p>
            <w:r>
              <w:t>&lt; 12</w:t>
            </w:r>
          </w:p>
        </w:tc>
        <w:tc>
          <w:tcPr>
            <w:tcW w:type="dxa" w:w="2880"/>
          </w:tcPr>
          <w:p>
            <w:r>
              <w:t>Compressed volatility</w:t>
            </w:r>
          </w:p>
        </w:tc>
        <w:tc>
          <w:tcPr>
            <w:tcW w:type="dxa" w:w="2880"/>
          </w:tcPr>
          <w:p>
            <w:r>
              <w:t>Usually no trade</w:t>
            </w:r>
          </w:p>
        </w:tc>
      </w:tr>
      <w:tr>
        <w:tc>
          <w:tcPr>
            <w:tcW w:type="dxa" w:w="2880"/>
          </w:tcPr>
          <w:p>
            <w:r>
              <w:t>12 - 20</w:t>
            </w:r>
          </w:p>
        </w:tc>
        <w:tc>
          <w:tcPr>
            <w:tcW w:type="dxa" w:w="2880"/>
          </w:tcPr>
          <w:p>
            <w:r>
              <w:t>Normal volatility</w:t>
            </w:r>
          </w:p>
        </w:tc>
        <w:tc>
          <w:tcPr>
            <w:tcW w:type="dxa" w:w="2880"/>
          </w:tcPr>
          <w:p>
            <w:r>
              <w:t>Iron condors, selective credit spreads</w:t>
            </w:r>
          </w:p>
        </w:tc>
      </w:tr>
      <w:tr>
        <w:tc>
          <w:tcPr>
            <w:tcW w:type="dxa" w:w="2880"/>
          </w:tcPr>
          <w:p>
            <w:r>
              <w:t>20 - 30</w:t>
            </w:r>
          </w:p>
        </w:tc>
        <w:tc>
          <w:tcPr>
            <w:tcW w:type="dxa" w:w="2880"/>
          </w:tcPr>
          <w:p>
            <w:r>
              <w:t>Elevated volatility</w:t>
            </w:r>
          </w:p>
        </w:tc>
        <w:tc>
          <w:tcPr>
            <w:tcW w:type="dxa" w:w="2880"/>
          </w:tcPr>
          <w:p>
            <w:r>
              <w:t>Directional vertical spreads</w:t>
            </w:r>
          </w:p>
        </w:tc>
      </w:tr>
      <w:tr>
        <w:tc>
          <w:tcPr>
            <w:tcW w:type="dxa" w:w="2880"/>
          </w:tcPr>
          <w:p>
            <w:r>
              <w:t>&gt;= 30</w:t>
            </w:r>
          </w:p>
        </w:tc>
        <w:tc>
          <w:tcPr>
            <w:tcW w:type="dxa" w:w="2880"/>
          </w:tcPr>
          <w:p>
            <w:r>
              <w:t>Stress / crisis regime</w:t>
            </w:r>
          </w:p>
        </w:tc>
        <w:tc>
          <w:tcPr>
            <w:tcW w:type="dxa" w:w="2880"/>
          </w:tcPr>
          <w:p>
            <w:r>
              <w:t>No new trades</w:t>
            </w:r>
          </w:p>
        </w:tc>
      </w:tr>
    </w:tbl>
    <w:p>
      <w:pPr>
        <w:pStyle w:val="Heading1"/>
      </w:pPr>
      <w:r>
        <w:t>7. Contango and Backwardation</w:t>
      </w:r>
    </w:p>
    <w:p>
      <w:r>
        <w:t>Contango and backwardation describe the shape of the VIX futures curve.</w:t>
      </w:r>
    </w:p>
    <w:p>
      <w:pPr>
        <w:pStyle w:val="Heading2"/>
      </w:pPr>
      <w:r>
        <w:t>Contango</w:t>
      </w:r>
    </w:p>
    <w:p>
      <w:r>
        <w:t>Contango occurs when longer-dated VIX futures trade above near-term VIX futures. This usually indicates a stable market environment and is favorable for premium selling strategies such as iron condors.</w:t>
      </w:r>
    </w:p>
    <w:p>
      <w:r>
        <w:t>Example: VX2 &gt; VX1</w:t>
      </w:r>
    </w:p>
    <w:p>
      <w:pPr>
        <w:pStyle w:val="Heading2"/>
      </w:pPr>
      <w:r>
        <w:t>Backwardation</w:t>
      </w:r>
    </w:p>
    <w:p>
      <w:r>
        <w:t>Backwardation occurs when near-term VIX futures trade above longer-dated futures. This usually indicates stress, fear, or volatility expansion. Backwardation is dangerous for iron condors and generally favors directional debit spreads.</w:t>
      </w:r>
    </w:p>
    <w:p>
      <w:r>
        <w:t>Example: VX1 &gt; VX2</w:t>
      </w:r>
    </w:p>
    <w:p>
      <w:pPr>
        <w:pStyle w:val="Heading1"/>
      </w:pPr>
      <w:r>
        <w:t>8. EMA Structural Regime Filter</w:t>
      </w:r>
    </w:p>
    <w:p>
      <w:r>
        <w:t>The strategy uses EMA20, EMA50, and EMA200 as slow structural filters.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EMA Structure</w:t>
            </w:r>
          </w:p>
        </w:tc>
        <w:tc>
          <w:tcPr>
            <w:tcW w:type="dxa" w:w="4320"/>
          </w:tcPr>
          <w:p>
            <w:r>
              <w:t>Interpretation</w:t>
            </w:r>
          </w:p>
        </w:tc>
      </w:tr>
      <w:tr>
        <w:tc>
          <w:tcPr>
            <w:tcW w:type="dxa" w:w="4320"/>
          </w:tcPr>
          <w:p>
            <w:r>
              <w:t>EMA20 &gt; EMA50 &gt; EMA200</w:t>
            </w:r>
          </w:p>
        </w:tc>
        <w:tc>
          <w:tcPr>
            <w:tcW w:type="dxa" w:w="4320"/>
          </w:tcPr>
          <w:p>
            <w:r>
              <w:t>Strong bullish structural trend</w:t>
            </w:r>
          </w:p>
        </w:tc>
      </w:tr>
      <w:tr>
        <w:tc>
          <w:tcPr>
            <w:tcW w:type="dxa" w:w="4320"/>
          </w:tcPr>
          <w:p>
            <w:r>
              <w:t>EMA20 &lt; EMA50 &lt; EMA200</w:t>
            </w:r>
          </w:p>
        </w:tc>
        <w:tc>
          <w:tcPr>
            <w:tcW w:type="dxa" w:w="4320"/>
          </w:tcPr>
          <w:p>
            <w:r>
              <w:t>Strong bearish structural trend</w:t>
            </w:r>
          </w:p>
        </w:tc>
      </w:tr>
    </w:tbl>
    <w:p>
      <w:r>
        <w:t>EMA stacking is used only as a structural regime filter, not as a trade trigger.</w:t>
      </w:r>
    </w:p>
    <w:p>
      <w:pPr>
        <w:pStyle w:val="Heading1"/>
      </w:pPr>
      <w:r>
        <w:t>9. Weekly Directional Trading Layer</w:t>
      </w:r>
    </w:p>
    <w:p>
      <w:r>
        <w:t>The weekly layer focuses on directional vertical spreads.</w:t>
      </w:r>
    </w:p>
    <w:p>
      <w:pPr>
        <w:pStyle w:val="ListBullet"/>
      </w:pPr>
      <w:r>
        <w:t>Weekly intrinsic threshold breach</w:t>
      </w:r>
    </w:p>
    <w:p>
      <w:pPr>
        <w:pStyle w:val="ListBullet"/>
      </w:pPr>
      <w:r>
        <w:t>Higher High / Higher Low bullish structure</w:t>
      </w:r>
    </w:p>
    <w:p>
      <w:pPr>
        <w:pStyle w:val="ListBullet"/>
      </w:pPr>
      <w:r>
        <w:t>Lower High / Lower Low bearish structure</w:t>
      </w:r>
    </w:p>
    <w:p>
      <w:pPr>
        <w:pStyle w:val="ListBullet"/>
      </w:pPr>
      <w:r>
        <w:t>VWAP directional alignment</w:t>
      </w:r>
    </w:p>
    <w:p>
      <w:pPr>
        <w:pStyle w:val="ListBullet"/>
      </w:pPr>
      <w:r>
        <w:t>ATR regime confirmation</w:t>
      </w:r>
    </w:p>
    <w:p>
      <w:pPr>
        <w:pStyle w:val="ListBullet"/>
      </w:pPr>
      <w:r>
        <w:t>EMA structural confirmation</w:t>
      </w:r>
    </w:p>
    <w:p>
      <w:pPr>
        <w:pStyle w:val="ListBullet"/>
      </w:pPr>
      <w:r>
        <w:t>LLM trend confirmation</w:t>
      </w:r>
    </w:p>
    <w:p>
      <w:pPr>
        <w:pStyle w:val="Heading2"/>
      </w:pPr>
      <w:r>
        <w:t>Weekly Bull Put Credit Spread</w:t>
      </w:r>
    </w:p>
    <w:p>
      <w:pPr>
        <w:pStyle w:val="ListBullet"/>
      </w:pPr>
      <w:r>
        <w:t>Bullish intrinsic event fired</w:t>
      </w:r>
    </w:p>
    <w:p>
      <w:pPr>
        <w:pStyle w:val="ListBullet"/>
      </w:pPr>
      <w:r>
        <w:t>Price above VWAP</w:t>
      </w:r>
    </w:p>
    <w:p>
      <w:pPr>
        <w:pStyle w:val="ListBullet"/>
      </w:pPr>
      <w:r>
        <w:t>VWAP slope positive</w:t>
      </w:r>
    </w:p>
    <w:p>
      <w:pPr>
        <w:pStyle w:val="ListBullet"/>
      </w:pPr>
      <w:r>
        <w:t>EMA20 &gt; EMA50 preferred</w:t>
      </w:r>
    </w:p>
    <w:p>
      <w:pPr>
        <w:pStyle w:val="ListBullet"/>
      </w:pPr>
      <w:r>
        <w:t>LLM direction = uptrending</w:t>
      </w:r>
    </w:p>
    <w:p>
      <w:pPr>
        <w:pStyle w:val="ListBullet"/>
      </w:pPr>
      <w:r>
        <w:t>LLM strength &gt;= moderate</w:t>
      </w:r>
    </w:p>
    <w:p>
      <w:pPr>
        <w:pStyle w:val="ListBullet"/>
      </w:pPr>
      <w:r>
        <w:t>VIX generally between 12 and 25</w:t>
      </w:r>
    </w:p>
    <w:p>
      <w:pPr>
        <w:pStyle w:val="Heading2"/>
      </w:pPr>
      <w:r>
        <w:t>Weekly Bear Put Debit Spread</w:t>
      </w:r>
    </w:p>
    <w:p>
      <w:pPr>
        <w:pStyle w:val="ListBullet"/>
      </w:pPr>
      <w:r>
        <w:t>Bearish intrinsic event fired</w:t>
      </w:r>
    </w:p>
    <w:p>
      <w:pPr>
        <w:pStyle w:val="ListBullet"/>
      </w:pPr>
      <w:r>
        <w:t>Price below VWAP</w:t>
      </w:r>
    </w:p>
    <w:p>
      <w:pPr>
        <w:pStyle w:val="ListBullet"/>
      </w:pPr>
      <w:r>
        <w:t>VWAP slope negative</w:t>
      </w:r>
    </w:p>
    <w:p>
      <w:pPr>
        <w:pStyle w:val="ListBullet"/>
      </w:pPr>
      <w:r>
        <w:t>EMA20 &lt; EMA50 preferred</w:t>
      </w:r>
    </w:p>
    <w:p>
      <w:pPr>
        <w:pStyle w:val="ListBullet"/>
      </w:pPr>
      <w:r>
        <w:t>LLM direction = downtrending</w:t>
      </w:r>
    </w:p>
    <w:p>
      <w:pPr>
        <w:pStyle w:val="ListBullet"/>
      </w:pPr>
      <w:r>
        <w:t>LLM strength &gt;= moderate_to_strong</w:t>
      </w:r>
    </w:p>
    <w:p>
      <w:pPr>
        <w:pStyle w:val="ListBullet"/>
      </w:pPr>
      <w:r>
        <w:t>VIX generally between 20 and 30</w:t>
      </w:r>
    </w:p>
    <w:p>
      <w:pPr>
        <w:pStyle w:val="Heading1"/>
      </w:pPr>
      <w:r>
        <w:t>10. Monthly Iron Condor Layer</w:t>
      </w:r>
    </w:p>
    <w:p>
      <w:r>
        <w:t>The monthly layer is a premium harvesting layer focused on iron condors.</w:t>
      </w:r>
    </w:p>
    <w:p>
      <w:pPr>
        <w:pStyle w:val="ListBullet"/>
      </w:pPr>
      <w:r>
        <w:t>VIX between 12 and 20</w:t>
      </w:r>
    </w:p>
    <w:p>
      <w:pPr>
        <w:pStyle w:val="ListBullet"/>
      </w:pPr>
      <w:r>
        <w:t>VIX futures contango preferred</w:t>
      </w:r>
    </w:p>
    <w:p>
      <w:pPr>
        <w:pStyle w:val="ListBullet"/>
      </w:pPr>
      <w:r>
        <w:t>ATR ratio not elevated</w:t>
      </w:r>
    </w:p>
    <w:p>
      <w:pPr>
        <w:pStyle w:val="ListBullet"/>
      </w:pPr>
      <w:r>
        <w:t>No strong intrinsic directional persistence</w:t>
      </w:r>
    </w:p>
    <w:p>
      <w:pPr>
        <w:pStyle w:val="ListBullet"/>
      </w:pPr>
      <w:r>
        <w:t>No strong EMA trend stacking</w:t>
      </w:r>
    </w:p>
    <w:p>
      <w:pPr>
        <w:pStyle w:val="ListBullet"/>
      </w:pPr>
      <w:r>
        <w:t>LLM trend direction = flat or weak</w:t>
      </w:r>
    </w:p>
    <w:p>
      <w:r>
        <w:t>The primary goal of the intrinsic engine in the monthly layer is to determine when NOT to sell iron condors.</w:t>
      </w:r>
    </w:p>
    <w:p>
      <w:pPr>
        <w:pStyle w:val="Heading1"/>
      </w:pPr>
      <w:r>
        <w:t>11. VWAP Explained</w:t>
      </w:r>
    </w:p>
    <w:p>
      <w:r>
        <w:t>VWAP stands for Volume Weighted Average Price. It represents the average traded price weighted by volume.</w:t>
      </w:r>
    </w:p>
    <w:p>
      <w:pPr>
        <w:pStyle w:val="ListBullet"/>
      </w:pPr>
      <w:r>
        <w:t>Price above VWAP = bullish intraday bias</w:t>
      </w:r>
    </w:p>
    <w:p>
      <w:pPr>
        <w:pStyle w:val="ListBullet"/>
      </w:pPr>
      <w:r>
        <w:t>Price below VWAP = bearish intraday bias</w:t>
      </w:r>
    </w:p>
    <w:p>
      <w:pPr>
        <w:pStyle w:val="ListBullet"/>
      </w:pPr>
      <w:r>
        <w:t>VWAP slope rising = bullish persistence</w:t>
      </w:r>
    </w:p>
    <w:p>
      <w:pPr>
        <w:pStyle w:val="ListBullet"/>
      </w:pPr>
      <w:r>
        <w:t>VWAP slope falling = bearish persistence</w:t>
      </w:r>
    </w:p>
    <w:p>
      <w:pPr>
        <w:pStyle w:val="Heading1"/>
      </w:pPr>
      <w:r>
        <w:t>12. LLM Confirmation Layer</w:t>
      </w:r>
    </w:p>
    <w:p>
      <w:r>
        <w:t>The LLM is not used for signal generation. The LLM is only used to confirm deterministic setups.</w:t>
      </w:r>
    </w:p>
    <w:p>
      <w:pPr>
        <w:pStyle w:val="ListBullet"/>
      </w:pPr>
      <w:r>
        <w:t>Trend Direction: uptrending, downtrending, flat</w:t>
      </w:r>
    </w:p>
    <w:p>
      <w:pPr>
        <w:pStyle w:val="ListBullet"/>
      </w:pPr>
      <w:r>
        <w:t>Trend Strength: weak, weak_to_moderate, moderate, moderate_to_strong, strong</w:t>
      </w:r>
    </w:p>
    <w:p>
      <w:pPr>
        <w:pStyle w:val="ListBullet"/>
      </w:pPr>
      <w:r>
        <w:t>Confidence: 0 to 1</w:t>
      </w:r>
    </w:p>
    <w:p>
      <w:pPr>
        <w:pStyle w:val="Heading1"/>
      </w:pPr>
      <w:r>
        <w:t>13. Risk Management</w:t>
      </w:r>
    </w:p>
    <w:p>
      <w:pPr>
        <w:pStyle w:val="ListBullet"/>
      </w:pPr>
      <w:r>
        <w:t>Never average down</w:t>
      </w:r>
    </w:p>
    <w:p>
      <w:pPr>
        <w:pStyle w:val="ListBullet"/>
      </w:pPr>
      <w:r>
        <w:t>Use defined-risk spreads only</w:t>
      </w:r>
    </w:p>
    <w:p>
      <w:pPr>
        <w:pStyle w:val="ListBullet"/>
      </w:pPr>
      <w:r>
        <w:t>Limit risk per trade</w:t>
      </w:r>
    </w:p>
    <w:p>
      <w:pPr>
        <w:pStyle w:val="ListBullet"/>
      </w:pPr>
      <w:r>
        <w:t>Reduce size during elevated ATR regimes</w:t>
      </w:r>
    </w:p>
    <w:p>
      <w:pPr>
        <w:pStyle w:val="ListBullet"/>
      </w:pPr>
      <w:r>
        <w:t>Avoid trading during VIX stress regimes</w:t>
      </w:r>
    </w:p>
    <w:p>
      <w:pPr>
        <w:pStyle w:val="ListBullet"/>
      </w:pPr>
      <w:r>
        <w:t>Close positions before catastrophic risk expansion</w:t>
      </w:r>
    </w:p>
    <w:p>
      <w:pPr>
        <w:pStyle w:val="ListBullet"/>
      </w:pPr>
      <w:r>
        <w:t>Use hard stop-loss rules</w:t>
      </w:r>
    </w:p>
    <w:p>
      <w:pPr>
        <w:pStyle w:val="Heading1"/>
      </w:pPr>
      <w:r>
        <w:t>14. No-Trade Conditions</w:t>
      </w:r>
    </w:p>
    <w:p>
      <w:pPr>
        <w:pStyle w:val="ListBullet"/>
      </w:pPr>
      <w:r>
        <w:t>VIX &gt;= 30</w:t>
      </w:r>
    </w:p>
    <w:p>
      <w:pPr>
        <w:pStyle w:val="ListBullet"/>
      </w:pPr>
      <w:r>
        <w:t>Extreme ATR expansion</w:t>
      </w:r>
    </w:p>
    <w:p>
      <w:pPr>
        <w:pStyle w:val="ListBullet"/>
      </w:pPr>
      <w:r>
        <w:t>Rapid VWAP crossing/chop</w:t>
      </w:r>
    </w:p>
    <w:p>
      <w:pPr>
        <w:pStyle w:val="ListBullet"/>
      </w:pPr>
      <w:r>
        <w:t>Conflicting intrinsic signals</w:t>
      </w:r>
    </w:p>
    <w:p>
      <w:pPr>
        <w:pStyle w:val="ListBullet"/>
      </w:pPr>
      <w:r>
        <w:t>Strong trend persistence against iron condors</w:t>
      </w:r>
    </w:p>
    <w:p>
      <w:pPr>
        <w:pStyle w:val="ListBullet"/>
      </w:pPr>
      <w:r>
        <w:t>Major macro event risk</w:t>
      </w:r>
    </w:p>
    <w:p>
      <w:pPr>
        <w:pStyle w:val="Heading1"/>
      </w:pPr>
      <w:r>
        <w:t>15. Full V1 Production Flow</w:t>
      </w:r>
    </w:p>
    <w:p>
      <w:pPr>
        <w:pStyle w:val="ListNumber"/>
      </w:pPr>
      <w:r>
        <w:t>1. Calculate ATR and VIX volatility regime</w:t>
      </w:r>
    </w:p>
    <w:p>
      <w:pPr>
        <w:pStyle w:val="ListNumber"/>
      </w:pPr>
      <w:r>
        <w:t>2. Recalculate adaptive intrinsic thresholds</w:t>
      </w:r>
    </w:p>
    <w:p>
      <w:pPr>
        <w:pStyle w:val="ListNumber"/>
      </w:pPr>
      <w:r>
        <w:t>3. Detect intrinsic threshold breach events</w:t>
      </w:r>
    </w:p>
    <w:p>
      <w:pPr>
        <w:pStyle w:val="ListNumber"/>
      </w:pPr>
      <w:r>
        <w:t>4. Classify market structure</w:t>
      </w:r>
    </w:p>
    <w:p>
      <w:pPr>
        <w:pStyle w:val="ListNumber"/>
      </w:pPr>
      <w:r>
        <w:t>5. Apply VWAP and EMA regime filters</w:t>
      </w:r>
    </w:p>
    <w:p>
      <w:pPr>
        <w:pStyle w:val="ListNumber"/>
      </w:pPr>
      <w:r>
        <w:t>6. Generate deterministic trade setup</w:t>
      </w:r>
    </w:p>
    <w:p>
      <w:pPr>
        <w:pStyle w:val="ListNumber"/>
      </w:pPr>
      <w:r>
        <w:t>7. Run LLM confirmation</w:t>
      </w:r>
    </w:p>
    <w:p>
      <w:pPr>
        <w:pStyle w:val="ListNumber"/>
      </w:pPr>
      <w:r>
        <w:t>8. Build options spread</w:t>
      </w:r>
    </w:p>
    <w:p>
      <w:pPr>
        <w:pStyle w:val="ListNumber"/>
      </w:pPr>
      <w:r>
        <w:t>9. Execute risk-controlled trade</w:t>
      </w:r>
    </w:p>
    <w:p>
      <w:pPr>
        <w:pStyle w:val="ListNumber"/>
      </w:pPr>
      <w:r>
        <w:t>10. Continuously monitor intrinsic events</w:t>
      </w:r>
    </w:p>
    <w:p>
      <w:pPr>
        <w:pStyle w:val="Heading1"/>
      </w:pPr>
      <w:r>
        <w:t>16. Recommended V1 Scope</w:t>
      </w:r>
    </w:p>
    <w:p>
      <w:pPr>
        <w:pStyle w:val="ListBullet"/>
      </w:pPr>
      <w:r>
        <w:t>Trade ES futures options only</w:t>
      </w:r>
    </w:p>
    <w:p>
      <w:pPr>
        <w:pStyle w:val="ListBullet"/>
      </w:pPr>
      <w:r>
        <w:t>Weekly directional spreads</w:t>
      </w:r>
    </w:p>
    <w:p>
      <w:pPr>
        <w:pStyle w:val="ListBullet"/>
      </w:pPr>
      <w:r>
        <w:t>Monthly iron condors</w:t>
      </w:r>
    </w:p>
    <w:p>
      <w:pPr>
        <w:pStyle w:val="ListBullet"/>
      </w:pPr>
      <w:r>
        <w:t>No 0DTE initially</w:t>
      </w:r>
    </w:p>
    <w:p>
      <w:pPr>
        <w:pStyle w:val="ListBullet"/>
      </w:pPr>
      <w:r>
        <w:t>No quarterly layer initially</w:t>
      </w:r>
    </w:p>
    <w:p>
      <w:pPr>
        <w:pStyle w:val="ListBullet"/>
      </w:pPr>
      <w:r>
        <w:t>No RSI, MACD, Bollinger Bands, or ADX in V1</w:t>
      </w:r>
    </w:p>
    <w:p>
      <w:pPr>
        <w:pStyle w:val="ListBullet"/>
      </w:pPr>
      <w:r>
        <w:t>Focus on robustness and regime management</w:t>
      </w:r>
    </w:p>
    <w:p>
      <w:pPr>
        <w:pStyle w:val="Heading1"/>
      </w:pPr>
      <w:r>
        <w:t>17. Final Recommendation</w:t>
      </w:r>
    </w:p>
    <w:p>
      <w:r>
        <w:t>This V1 architecture is intentionally simplified to maximize robustness, maintainability, psychological alignment, and production survivability. The system combines adaptive intrinsic-time event detection with volatility regime filtering and selective LLM confirmation to create a disciplined options trading framework.</w:t>
      </w:r>
    </w:p>
    <w:p/>
    <w:p>
      <w:r>
        <w:t>Generated: 2026-05-10T16:22:05.946620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