
<file path=[Content_Types].xml><?xml version="1.0" encoding="utf-8"?>
<Types xmlns="http://schemas.openxmlformats.org/package/2006/content-types">
  <Default Extension="xml" ContentType="application/vnd.openxmlformats-officedocument.wordprocessingml.document.main+xml"/>
  <Default Extension="rels" ContentType="application/vnd.openxmlformats-package.relationships+xml"/>
  <Default Extension="png" ContentType="image/png"/>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numbering.xml" ContentType="application/vnd.openxmlformats-officedocument.wordprocessingml.numbering+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&#65279;<?xml version="1.0" encoding="utf-8"?><Relationships xmlns="http://schemas.openxmlformats.org/package/2006/relationships"><Relationship Type="http://schemas.openxmlformats.org/officeDocument/2006/relationships/officeDocument" Target="/word/document.xml" Id="Re20971a2e0274bab" /><Relationship Type="http://schemas.openxmlformats.org/package/2006/relationships/metadata/core-properties" Target="/docProps/core.xml" Id="R0361362277c04888" /><Relationship Type="http://schemas.openxmlformats.org/officeDocument/2006/relationships/extended-properties" Target="/docProps/app.xml" Id="R138ea35a423347ae" /><Relationship Type="http://schemas.openxmlformats.org/officeDocument/2006/relationships/custom-properties" Target="/docProps/custom.xml" Id="R867ad57fb8e349fb" /></Relationships>
</file>

<file path=word/document.xml><?xml version="1.0" encoding="utf-8"?>
<w:document xmlns:r="http://schemas.openxmlformats.org/officeDocument/2006/relationships" xmlns:m="http://schemas.openxmlformats.org/officeDocument/2006/math" xmlns:v="urn:schemas-microsoft-com:vml" xmlns:o="urn:schemas-microsoft-com:office:office" xmlns:w10="urn:schemas-microsoft-com:office:word" xmlns:wne="http://schemas.microsoft.com/office/word/2006/wordml" xmlns:wp="http://schemas.openxmlformats.org/drawingml/2006/wordprocessingDrawing" xmlns:wp14="http://schemas.microsoft.com/office/word/2010/wordprocessingDrawing" xmlns:w14="http://schemas.microsoft.com/office/word/2010/wordml" xmlns:a="http://schemas.openxmlformats.org/drawingml/2006/main" xmlns:pic="http://schemas.openxmlformats.org/drawingml/2006/picture" xmlns:wps="http://schemas.microsoft.com/office/word/2010/wordprocessingShape" xmlns:wpg="http://schemas.microsoft.com/office/word/2010/wordprocessingGroup" xmlns:wpi="http://schemas.microsoft.com/office/word/2010/wordprocessingInk" xmlns:wpc="http://schemas.microsoft.com/office/word/2010/wordprocessingCanvas" xmlns:w15="http://schemas.microsoft.com/office/word/2012/wordml" xmlns:mc="http://schemas.openxmlformats.org/markup-compatibility/2006" xmlns:w="http://schemas.openxmlformats.org/wordprocessingml/2006/main" mc:Ignorable="w14 w15 wp14">
  <w:body>
    <w:p w14:paraId="00100000" w14:textId="00100001">
      <w:pPr>
        <w:spacing w:after="120"/>
        <w:jc w:val="center"/>
      </w:pPr>
      <w:r>
        <w:rPr>
          <w:b/>
          <w:color w:val="1F3864"/>
          <w:sz w:val="52"/>
        </w:rPr>
        <w:t xml:space="preserve">SALES DATA ANALYSIS</w:t>
      </w:r>
    </w:p>
    <w:p w14:paraId="00100002" w14:textId="00100003">
      <w:pPr>
        <w:spacing w:after="80"/>
        <w:jc w:val="center"/>
      </w:pPr>
      <w:r>
        <w:rPr>
          <w:color w:val="2E75B6"/>
          <w:sz w:val="28"/>
        </w:rPr>
        <w:t xml:space="preserve">Final Year Project Report</w:t>
      </w:r>
    </w:p>
    <w:p w14:paraId="00100004" w14:textId="00100005">
      <w:pPr>
        <w:spacing w:after="400"/>
        <w:jc w:val="center"/>
      </w:pPr>
      <w:r>
        <w:rPr>
          <w:color w:val="404040"/>
          <w:sz w:val="24"/>
        </w:rPr>
        <w:t xml:space="preserve">Department of Artificial Intelligence and Machine Learning</w:t>
      </w:r>
    </w:p>
    <w:p w14:paraId="00100006" w14:textId="00100007">
      <w:pPr>
        <w:spacing w:after="80"/>
        <w:jc w:val="center"/>
      </w:pPr>
      <w:r>
        <w:rPr>
          <w:sz w:val="22"/>
        </w:rPr>
        <w:t xml:space="preserve">Submitted by</w:t>
      </w:r>
    </w:p>
    <w:p w14:paraId="00100008" w14:textId="00100009">
      <w:pPr>
        <w:spacing w:after="320"/>
        <w:jc w:val="center"/>
      </w:pPr>
      <w:r>
        <w:rPr>
          <w:b/>
          <w:color w:val="1F3864"/>
          <w:sz w:val="30"/>
        </w:rPr>
        <w:t xml:space="preserve">B. Zughnesh Reddy</w:t>
      </w:r>
    </w:p>
    <w:p w14:paraId="0010000A" w14:textId="0010000B">
      <w:pPr>
        <w:spacing w:after="60"/>
        <w:jc w:val="center"/>
      </w:pPr>
      <w:r>
        <w:rPr>
          <w:sz w:val="24"/>
        </w:rPr>
        <w:t xml:space="preserve">College:  SITAMS, Chittoor</w:t>
      </w:r>
    </w:p>
    <w:p w14:paraId="0010000C" w14:textId="0010000D">
      <w:pPr>
        <w:spacing w:after="60"/>
        <w:jc w:val="center"/>
      </w:pPr>
      <w:r>
        <w:rPr>
          <w:sz w:val="24"/>
        </w:rPr>
        <w:t xml:space="preserve">Branch:  Artificial Intelligence and Machine Learning (AIML)</w:t>
      </w:r>
    </w:p>
    <w:p w14:paraId="0010000E" w14:textId="0010000F">
      <w:pPr>
        <w:spacing w:after="60"/>
        <w:jc w:val="center"/>
      </w:pPr>
      <w:r>
        <w:rPr>
          <w:sz w:val="24"/>
        </w:rPr>
        <w:t xml:space="preserve">Year:  Final Year</w:t>
      </w:r>
    </w:p>
    <w:p w14:paraId="00100010" w14:textId="00100011">
      <w:pPr>
        <w:spacing w:after="480"/>
        <w:jc w:val="center"/>
      </w:pPr>
      <w:r>
        <w:rPr>
          <w:sz w:val="24"/>
        </w:rPr>
        <w:t xml:space="preserve">Subject:  Data Analytics Project</w:t>
      </w:r>
    </w:p>
    <w:p w14:paraId="00100012" w14:textId="00100013">
      <w:pPr>
        <w:spacing w:after="0"/>
        <w:jc w:val="center"/>
      </w:pPr>
      <w:r>
        <w:rPr>
          <w:color w:val="57606A"/>
          <w:sz w:val="22"/>
        </w:rPr>
        <w:t xml:space="preserve">Academic Year: 2024 – 2025</w:t>
      </w:r>
    </w:p>
    <w:p w14:paraId="00100014" w14:textId="00100015">
      <w:pPr>
        <w:pStyle w:val="Normal"/>
        <w:pageBreakBefore/>
      </w:pPr>
      <w:r>
        <w:rPr/>
        <w:t xml:space="preserve"/>
      </w:r>
    </w:p>
    <w:p w14:paraId="00100016" w14:textId="00100017">
      <w:pPr>
        <w:pStyle w:val="Heading1"/>
        <w:spacing w:after="120"/>
      </w:pPr>
      <w:r>
        <w:rPr>
          <w:b/>
          <w:color w:val="1F3864"/>
          <w:sz w:val="30"/>
        </w:rPr>
        <w:t xml:space="preserve">1. ABSTRACT</w:t>
      </w:r>
    </w:p>
    <w:p w14:paraId="00100018" w14:textId="00100019">
      <w:pPr>
        <w:spacing w:after="100"/>
      </w:pPr>
      <w:r>
        <w:rPr>
          <w:sz w:val="22"/>
        </w:rPr>
        <w:t xml:space="preserve">This report presents a comprehensive sales data analysis project developed using Python for the Final Year B.Tech AIML programme at SITAMS, Chittoor. The project analyses a retail sales dataset containing 1,194 transactions recorded across six US states from March 2020 to March 2025, covering three product categories (Electronics, Furniture, Office Supplies), 12 sub-categories, 547 unique orders, and 802 unique customers.</w:t>
      </w:r>
    </w:p>
    <w:p w14:paraId="0010001A" w14:textId="0010001B">
      <w:pPr>
        <w:spacing w:after="100"/>
      </w:pPr>
      <w:r>
        <w:rPr>
          <w:sz w:val="22"/>
        </w:rPr>
        <w:t xml:space="preserve">Using Python libraries — pandas, matplotlib, and seaborn — the project performs structured data loading, data quality checks, data cleaning, exploratory data analysis (EDA), KPI calculation, and professional data visualisation. Thirteen charts and a dashboard-style summary image are generated automatically from the actual data.</w:t>
      </w:r>
    </w:p>
    <w:p w14:paraId="0010001C" w14:textId="0010001D">
      <w:pPr>
        <w:spacing w:after="200"/>
      </w:pPr>
      <w:r>
        <w:rPr>
          <w:sz w:val="22"/>
        </w:rPr>
        <w:t xml:space="preserve">Key results include total sales of $6,182,639, total profit of $1,610,697, and an overall profit margin of 26.05%. New York is the highest-revenue state, Office Supplies leads in total sales, and Markers is the best-performing sub-category. The project delivers ten data-driven business insights and eight actionable business recommendations.</w:t>
      </w:r>
    </w:p>
    <w:p w14:paraId="0010001E" w14:textId="0010001F">
      <w:pPr>
        <w:pStyle w:val="Heading1"/>
        <w:spacing w:after="120"/>
      </w:pPr>
      <w:r>
        <w:rPr>
          <w:b/>
          <w:color w:val="1F3864"/>
          <w:sz w:val="30"/>
        </w:rPr>
        <w:t xml:space="preserve">2. INTRODUCTION</w:t>
      </w:r>
    </w:p>
    <w:p w14:paraId="00100020" w14:textId="00100021">
      <w:pPr>
        <w:spacing w:after="100"/>
      </w:pPr>
      <w:r>
        <w:rPr>
          <w:sz w:val="22"/>
        </w:rPr>
        <w:t xml:space="preserve">Sales data analysis is the systematic process of examining transactional records to understand business performance, identify trends, and support data-driven decision-making. In a competitive retail environment, businesses generate thousands of transactions daily across multiple products, regions, and customer segments. Without structured analysis, this data remains underutilised.</w:t>
      </w:r>
    </w:p>
    <w:p w14:paraId="00100022" w14:textId="00100023">
      <w:pPr>
        <w:spacing w:after="100"/>
      </w:pPr>
      <w:r>
        <w:rPr>
          <w:sz w:val="22"/>
        </w:rPr>
        <w:t xml:space="preserve">This project applies a full Python-based analytics pipeline to a real retail sales dataset. Using pandas for data manipulation, and matplotlib and seaborn for visualisation, the project answers critical business questions: Which categories and regions generate the most revenue? What is the overall profit margin? Which products are under-performing? Are there seasonal sales patterns?</w:t>
      </w:r>
    </w:p>
    <w:p w14:paraId="00100024" w14:textId="00100025">
      <w:pPr>
        <w:spacing w:after="200"/>
      </w:pPr>
      <w:r>
        <w:rPr>
          <w:sz w:val="22"/>
        </w:rPr>
        <w:t xml:space="preserve">The entire pipeline — from loading the CSV file to generating charts and business insights — is contained in a single executable Python script. This makes the project fully reproducible and easy to update with new data.</w:t>
      </w:r>
    </w:p>
    <w:p w14:paraId="00100026" w14:textId="00100027">
      <w:pPr>
        <w:pStyle w:val="Heading1"/>
        <w:spacing w:after="120"/>
      </w:pPr>
      <w:r>
        <w:rPr>
          <w:b/>
          <w:color w:val="1F3864"/>
          <w:sz w:val="30"/>
        </w:rPr>
        <w:t xml:space="preserve">3. PROBLEM STATEMENT</w:t>
      </w:r>
    </w:p>
    <w:p w14:paraId="00100028" w14:textId="00100029">
      <w:pPr>
        <w:spacing w:after="100"/>
      </w:pPr>
      <w:r>
        <w:rPr>
          <w:sz w:val="22"/>
        </w:rPr>
        <w:t xml:space="preserve">Retail businesses accumulate large volumes of transactional sales data across multiple categories, regions, customers, and payment modes. Without a structured analytical approach, it is difficult to determine which categories are most profitable, which regions are under-performing, whether sales are growing year on year, and which payment methods customers prefer.</w:t>
      </w:r>
    </w:p>
    <w:p w14:paraId="0010002A" w14:textId="0010002B">
      <w:pPr>
        <w:spacing w:after="200"/>
      </w:pPr>
      <w:r>
        <w:rPr>
          <w:sz w:val="22"/>
        </w:rPr>
        <w:t xml:space="preserve">This project addresses these challenges by building a reproducible, Python-based analytics pipeline that converts raw transactional records into clear, actionable business intelligence to guide product, regional, and marketing strategy decisions.</w:t>
      </w:r>
    </w:p>
    <w:p w14:paraId="0010002C" w14:textId="0010002D">
      <w:pPr>
        <w:pStyle w:val="Heading1"/>
        <w:spacing w:after="120"/>
      </w:pPr>
      <w:r>
        <w:rPr>
          <w:b/>
          <w:color w:val="1F3864"/>
          <w:sz w:val="30"/>
        </w:rPr>
        <w:t xml:space="preserve">4. OBJECTIVES</w:t>
      </w:r>
    </w:p>
    <w:p w14:paraId="0010002E" w14:textId="0010002F">
      <w:pPr>
        <w:spacing w:after="60"/>
      </w:pPr>
      <w:r>
        <w:rPr>
          <w:sz w:val="22"/>
        </w:rPr>
        <w:t xml:space="preserve">1.  Load and inspect the sales dataset to understand its structure, shape, data types, and quality.</w:t>
      </w:r>
    </w:p>
    <w:p w14:paraId="00100030" w14:textId="00100031">
      <w:pPr>
        <w:spacing w:after="60"/>
      </w:pPr>
      <w:r>
        <w:rPr>
          <w:sz w:val="22"/>
        </w:rPr>
        <w:t xml:space="preserve">2.  Perform a comprehensive data quality check covering missing values, duplicates, invalid values, and date validity.</w:t>
      </w:r>
    </w:p>
    <w:p w14:paraId="00100032" w14:textId="00100033">
      <w:pPr>
        <w:spacing w:after="60"/>
      </w:pPr>
      <w:r>
        <w:rPr>
          <w:sz w:val="22"/>
        </w:rPr>
        <w:t xml:space="preserve">3.  Clean and preprocess the data — convert date columns, derive time-based features, and strip whitespace.</w:t>
      </w:r>
    </w:p>
    <w:p w14:paraId="00100034" w14:textId="00100035">
      <w:pPr>
        <w:spacing w:after="60"/>
      </w:pPr>
      <w:r>
        <w:rPr>
          <w:sz w:val="22"/>
        </w:rPr>
        <w:t xml:space="preserve">4.  Calculate nine core business KPIs including Total Sales, Total Profit, Profit Margin, Average Order Value, and Unique Customers.</w:t>
      </w:r>
    </w:p>
    <w:p w14:paraId="00100036" w14:textId="00100037">
      <w:pPr>
        <w:spacing w:after="60"/>
      </w:pPr>
      <w:r>
        <w:rPr>
          <w:sz w:val="22"/>
        </w:rPr>
        <w:t xml:space="preserve">5.  Perform exploratory data analysis (EDA) across time, category, sub-category, state, payment mode, and customer dimensions.</w:t>
      </w:r>
    </w:p>
    <w:p w14:paraId="00100038" w14:textId="00100039">
      <w:pPr>
        <w:spacing w:after="60"/>
      </w:pPr>
      <w:r>
        <w:rPr>
          <w:sz w:val="22"/>
        </w:rPr>
        <w:t xml:space="preserve">6.  Generate 12 professional charts and a dashboard-style summary image using matplotlib and seaborn.</w:t>
      </w:r>
    </w:p>
    <w:p w14:paraId="0010003A" w14:textId="0010003B">
      <w:pPr>
        <w:spacing w:after="200"/>
      </w:pPr>
      <w:r>
        <w:rPr>
          <w:sz w:val="22"/>
        </w:rPr>
        <w:t xml:space="preserve">7.  Derive data-driven business insights and actionable recommendations from the actual computed results.</w:t>
      </w:r>
    </w:p>
    <w:p w14:paraId="0010003C" w14:textId="0010003D">
      <w:pPr>
        <w:pStyle w:val="Heading1"/>
        <w:spacing w:after="120"/>
      </w:pPr>
      <w:r>
        <w:rPr>
          <w:b/>
          <w:color w:val="1F3864"/>
          <w:sz w:val="30"/>
        </w:rPr>
        <w:t xml:space="preserve">5. DATASET DESCRIPTION</w:t>
      </w:r>
    </w:p>
    <w:p w14:paraId="0010003E" w14:textId="0010003F">
      <w:pPr>
        <w:spacing w:after="120"/>
      </w:pPr>
      <w:r>
        <w:rPr>
          <w:sz w:val="22"/>
        </w:rPr>
        <w:t xml:space="preserve">The dataset is a retail sales CSV file (Sales Dataset.csv) containing 1,194 transaction records across 12 columns, covering the period 22 March 2020 to 15 March 2025. There are no missing values and no duplicate rows.</w:t>
      </w:r>
    </w:p>
    <w:p w14:paraId="00100040" w14:textId="00100041">
      <w:pPr>
        <w:spacing w:after="60"/>
        <w:jc w:val="center"/>
      </w:pPr>
      <w:r>
        <w:rPr>
          <w:b/>
          <w:sz w:val="20"/>
        </w:rPr>
        <w:t xml:space="preserve">Table 1: Dataset Summary</w:t>
      </w:r>
    </w:p>
    <w:tbl>
      <w:tblPr>
        <w:tblW w:w="5000" w:type="pct"/>
        <w:tblBorders>
          <w:top w:val="single" w:sz="4"/>
          <w:left w:val="single" w:sz="4"/>
          <w:bottom w:val="single" w:sz="4"/>
          <w:right w:val="single" w:sz="4"/>
          <w:insideH w:val="single" w:sz="4"/>
          <w:insideV w:val="single" w:sz="4"/>
        </w:tblBorders>
      </w:tblPr>
      <w:tblGrid>
        <w:gridCol w:w="4153"/>
        <w:gridCol w:w="4153"/>
      </w:tblGrid>
      <w:tr>
        <w:trPr>
          <w:tblHeader/>
        </w:trPr>
        <w:tc>
          <w:p w14:paraId="00100042" w14:textId="00100043">
            <w:r>
              <w:t xml:space="preserve">Property</w:t>
            </w:r>
          </w:p>
        </w:tc>
        <w:tc>
          <w:p w14:paraId="00100044" w14:textId="00100045">
            <w:r>
              <w:t xml:space="preserve">Detail</w:t>
            </w:r>
          </w:p>
        </w:tc>
      </w:tr>
      <w:tr>
        <w:trPr/>
        <w:tc>
          <w:p w14:paraId="00100046" w14:textId="00100047">
            <w:r>
              <w:t xml:space="preserve">File Name</w:t>
            </w:r>
          </w:p>
        </w:tc>
        <w:tc>
          <w:p w14:paraId="00100048" w14:textId="00100049">
            <w:r>
              <w:t xml:space="preserve">Sales Dataset.csv</w:t>
            </w:r>
          </w:p>
        </w:tc>
      </w:tr>
      <w:tr>
        <w:trPr/>
        <w:tc>
          <w:p w14:paraId="0010004A" w14:textId="0010004B">
            <w:r>
              <w:t xml:space="preserve">Total Rows</w:t>
            </w:r>
          </w:p>
        </w:tc>
        <w:tc>
          <w:p w14:paraId="0010004C" w14:textId="0010004D">
            <w:r>
              <w:t xml:space="preserve">1,194</w:t>
            </w:r>
          </w:p>
        </w:tc>
      </w:tr>
      <w:tr>
        <w:trPr/>
        <w:tc>
          <w:p w14:paraId="0010004E" w14:textId="0010004F">
            <w:r>
              <w:t xml:space="preserve">Total Columns</w:t>
            </w:r>
          </w:p>
        </w:tc>
        <w:tc>
          <w:p w14:paraId="00100050" w14:textId="00100051">
            <w:r>
              <w:t xml:space="preserve">12</w:t>
            </w:r>
          </w:p>
        </w:tc>
      </w:tr>
      <w:tr>
        <w:trPr/>
        <w:tc>
          <w:p w14:paraId="00100052" w14:textId="00100053">
            <w:r>
              <w:t xml:space="preserve">Date Range</w:t>
            </w:r>
          </w:p>
        </w:tc>
        <w:tc>
          <w:p w14:paraId="00100054" w14:textId="00100055">
            <w:r>
              <w:t xml:space="preserve">22 March 2020 — 15 March 2025</w:t>
            </w:r>
          </w:p>
        </w:tc>
      </w:tr>
      <w:tr>
        <w:trPr/>
        <w:tc>
          <w:p w14:paraId="00100056" w14:textId="00100057">
            <w:r>
              <w:t xml:space="preserve">Missing Values / Duplicates</w:t>
            </w:r>
          </w:p>
        </w:tc>
        <w:tc>
          <w:p w14:paraId="00100058" w14:textId="00100059">
            <w:r>
              <w:t xml:space="preserve">None</w:t>
            </w:r>
          </w:p>
        </w:tc>
      </w:tr>
    </w:tbl>
    <w:p w14:paraId="0010005A" w14:textId="0010005B">
      <w:pPr>
        <w:spacing w:before="160" w:after="60"/>
        <w:jc w:val="center"/>
      </w:pPr>
      <w:r>
        <w:rPr>
          <w:b/>
          <w:sz w:val="20"/>
        </w:rPr>
        <w:t xml:space="preserve">Table 2: Column Descriptions</w:t>
      </w:r>
    </w:p>
    <w:tbl>
      <w:tblPr>
        <w:tblW w:w="5000" w:type="pct"/>
        <w:tblBorders>
          <w:top w:val="single" w:sz="4"/>
          <w:left w:val="single" w:sz="4"/>
          <w:bottom w:val="single" w:sz="4"/>
          <w:right w:val="single" w:sz="4"/>
          <w:insideH w:val="single" w:sz="4"/>
          <w:insideV w:val="single" w:sz="4"/>
        </w:tblBorders>
      </w:tblPr>
      <w:tblGrid>
        <w:gridCol w:w="4153"/>
        <w:gridCol w:w="4153"/>
      </w:tblGrid>
      <w:tr>
        <w:trPr>
          <w:tblHeader/>
        </w:trPr>
        <w:tc>
          <w:p w14:paraId="0010005C" w14:textId="0010005D">
            <w:r>
              <w:t xml:space="preserve">Column</w:t>
            </w:r>
          </w:p>
        </w:tc>
        <w:tc>
          <w:p w14:paraId="0010005E" w14:textId="0010005F">
            <w:r>
              <w:t xml:space="preserve">Type  |  Description</w:t>
            </w:r>
          </w:p>
        </w:tc>
      </w:tr>
      <w:tr>
        <w:trPr/>
        <w:tc>
          <w:p w14:paraId="00100060" w14:textId="00100061">
            <w:r>
              <w:t xml:space="preserve">Order ID</w:t>
            </w:r>
          </w:p>
        </w:tc>
        <w:tc>
          <w:p w14:paraId="00100062" w14:textId="00100063">
            <w:r>
              <w:t xml:space="preserve">String — Unique order identifier. Multiple rows may share one Order ID (line items).</w:t>
            </w:r>
          </w:p>
        </w:tc>
      </w:tr>
      <w:tr>
        <w:trPr/>
        <w:tc>
          <w:p w14:paraId="00100064" w14:textId="00100065">
            <w:r>
              <w:t xml:space="preserve">Amount</w:t>
            </w:r>
          </w:p>
        </w:tc>
        <w:tc>
          <w:p w14:paraId="00100066" w14:textId="00100067">
            <w:r>
              <w:t xml:space="preserve">Integer — Sales amount per transaction ($508–$9,992). Primary revenue metric.</w:t>
            </w:r>
          </w:p>
        </w:tc>
      </w:tr>
      <w:tr>
        <w:trPr/>
        <w:tc>
          <w:p w14:paraId="00100068" w14:textId="00100069">
            <w:r>
              <w:t xml:space="preserve">Profit</w:t>
            </w:r>
          </w:p>
        </w:tc>
        <w:tc>
          <w:p w14:paraId="0010006A" w14:textId="0010006B">
            <w:r>
              <w:t xml:space="preserve">Integer — Profit per transaction ($50–$4,930). Primary profitability metric.</w:t>
            </w:r>
          </w:p>
        </w:tc>
      </w:tr>
      <w:tr>
        <w:trPr/>
        <w:tc>
          <w:p w14:paraId="0010006C" w14:textId="0010006D">
            <w:r>
              <w:t xml:space="preserve">Quantity</w:t>
            </w:r>
          </w:p>
        </w:tc>
        <w:tc>
          <w:p w14:paraId="0010006E" w14:textId="0010006F">
            <w:r>
              <w:t xml:space="preserve">Integer — Units sold per transaction (1–20).</w:t>
            </w:r>
          </w:p>
        </w:tc>
      </w:tr>
      <w:tr>
        <w:trPr/>
        <w:tc>
          <w:p w14:paraId="00100070" w14:textId="00100071">
            <w:r>
              <w:t xml:space="preserve">Category</w:t>
            </w:r>
          </w:p>
        </w:tc>
        <w:tc>
          <w:p w14:paraId="00100072" w14:textId="00100073">
            <w:r>
              <w:t xml:space="preserve">String — Product category: Electronics, Furniture, Office Supplies.</w:t>
            </w:r>
          </w:p>
        </w:tc>
      </w:tr>
      <w:tr>
        <w:tc>
          <w:p w14:paraId="00100074" w14:textId="00100075">
            <w:r>
              <w:t xml:space="preserve">Sub-Category</w:t>
            </w:r>
          </w:p>
        </w:tc>
        <w:tc>
          <w:p w14:paraId="00100076" w14:textId="00100077">
            <w:r>
              <w:t xml:space="preserve">String — 12 values: Binders, Bookcases, Chairs, Electronic Games, Laptops, Markers, Paper, Pens, Phones, Printers, Sofas, Tables.</w:t>
            </w:r>
          </w:p>
        </w:tc>
      </w:tr>
      <w:tr>
        <w:tc>
          <w:p w14:paraId="00100078" w14:textId="00100079">
            <w:r>
              <w:t xml:space="preserve">PaymentMode</w:t>
            </w:r>
          </w:p>
        </w:tc>
        <w:tc>
          <w:p w14:paraId="0010007A" w14:textId="0010007B">
            <w:r>
              <w:t xml:space="preserve">String — Payment method: UPI, Credit Card, Debit Card, COD, EMI.</w:t>
            </w:r>
          </w:p>
        </w:tc>
      </w:tr>
      <w:tr>
        <w:tc>
          <w:p w14:paraId="0010007C" w14:textId="0010007D">
            <w:r>
              <w:t xml:space="preserve">Order Date</w:t>
            </w:r>
          </w:p>
        </w:tc>
        <w:tc>
          <w:p w14:paraId="0010007E" w14:textId="0010007F">
            <w:r>
              <w:t xml:space="preserve">String → datetime — Transaction date (YYYY-MM-DD).</w:t>
            </w:r>
          </w:p>
        </w:tc>
      </w:tr>
      <w:tr>
        <w:tc>
          <w:p w14:paraId="00100080" w14:textId="00100081">
            <w:r>
              <w:t xml:space="preserve">CustomerName</w:t>
            </w:r>
          </w:p>
        </w:tc>
        <w:tc>
          <w:p w14:paraId="00100082" w14:textId="00100083">
            <w:r>
              <w:t xml:space="preserve">String — Customer full name. 802 unique customers.</w:t>
            </w:r>
          </w:p>
        </w:tc>
      </w:tr>
      <w:tr>
        <w:tc>
          <w:p w14:paraId="00100084" w14:textId="00100085">
            <w:r>
              <w:t xml:space="preserve">State</w:t>
            </w:r>
          </w:p>
        </w:tc>
        <w:tc>
          <w:p w14:paraId="00100086" w14:textId="00100087">
            <w:r>
              <w:t xml:space="preserve">String — US state: California, Florida, Illinois, New York, Ohio, Texas.</w:t>
            </w:r>
          </w:p>
        </w:tc>
      </w:tr>
      <w:tr>
        <w:tc>
          <w:p w14:paraId="00100088" w14:textId="00100089">
            <w:r>
              <w:t xml:space="preserve">City</w:t>
            </w:r>
          </w:p>
        </w:tc>
        <w:tc>
          <w:p w14:paraId="0010008A" w14:textId="0010008B">
            <w:r>
              <w:t xml:space="preserve">String — City within state. 18 unique cities.</w:t>
            </w:r>
          </w:p>
        </w:tc>
      </w:tr>
      <w:tr>
        <w:tc>
          <w:p w14:paraId="0010008C" w14:textId="0010008D">
            <w:r>
              <w:t xml:space="preserve">Year-Month</w:t>
            </w:r>
          </w:p>
        </w:tc>
        <w:tc>
          <w:p w14:paraId="0010008E" w14:textId="0010008F">
            <w:r>
              <w:t xml:space="preserve">String — Period label (YYYY-MM) for time-series analysis.</w:t>
            </w:r>
          </w:p>
        </w:tc>
      </w:tr>
    </w:tbl>
    <w:p w14:paraId="00100090" w14:textId="00100091">
      <w:pPr>
        <w:pStyle w:val="Heading1"/>
        <w:spacing w:before="200" w:after="100"/>
      </w:pPr>
      <w:r>
        <w:rPr>
          <w:b/>
          <w:color w:val="1F3864"/>
          <w:sz w:val="30"/>
        </w:rPr>
        <w:t xml:space="preserve">6. TECHNOLOGIES AND LIBRARIES USED</w:t>
      </w:r>
    </w:p>
    <w:p w14:paraId="00100092" w14:textId="00100093">
      <w:pPr>
        <w:spacing w:after="100"/>
      </w:pPr>
      <w:r>
        <w:rPr>
          <w:sz w:val="22"/>
        </w:rPr>
        <w:t xml:space="preserve">All analysis was performed in Python only. No BI tools (Power BI, Tableau) were used. The table below lists every library actually imported in the project script.</w:t>
      </w:r>
    </w:p>
    <w:p w14:paraId="00100094" w14:textId="00100095">
      <w:pPr>
        <w:spacing w:after="60"/>
        <w:jc w:val="center"/>
      </w:pPr>
      <w:r>
        <w:rPr>
          <w:b/>
          <w:sz w:val="20"/>
        </w:rPr>
        <w:t xml:space="preserve">Table 3: Technologies and Libraries</w:t>
      </w:r>
    </w:p>
    <w:tbl>
      <w:tblPr>
        <w:tblW w:w="5000" w:type="pct"/>
        <w:tblBorders>
          <w:top w:val="single" w:sz="4"/>
          <w:left w:val="single" w:sz="4"/>
          <w:bottom w:val="single" w:sz="4"/>
          <w:right w:val="single" w:sz="4"/>
          <w:insideH w:val="single" w:sz="4"/>
          <w:insideV w:val="single" w:sz="4"/>
        </w:tblBorders>
      </w:tblPr>
      <w:tblGrid>
        <w:gridCol w:w="4153"/>
        <w:gridCol w:w="4153"/>
      </w:tblGrid>
      <w:tr>
        <w:trPr>
          <w:tblHeader/>
        </w:trPr>
        <w:tc>
          <w:p w14:paraId="00100096" w14:textId="00100097">
            <w:r>
              <w:t xml:space="preserve">Technology / Library</w:t>
            </w:r>
          </w:p>
        </w:tc>
        <w:tc>
          <w:p w14:paraId="00100098" w14:textId="00100099">
            <w:r>
              <w:t xml:space="preserve">Purpose in Project</w:t>
            </w:r>
          </w:p>
        </w:tc>
      </w:tr>
      <w:tr>
        <w:trPr/>
        <w:tc>
          <w:p w14:paraId="0010009A" w14:textId="0010009B">
            <w:r>
              <w:t xml:space="preserve">Python 3</w:t>
            </w:r>
          </w:p>
        </w:tc>
        <w:tc>
          <w:p w14:paraId="0010009C" w14:textId="0010009D">
            <w:r>
              <w:t xml:space="preserve">Core programming language for the entire analytics pipeline</w:t>
            </w:r>
          </w:p>
        </w:tc>
      </w:tr>
      <w:tr>
        <w:trPr/>
        <w:tc>
          <w:p w14:paraId="0010009E" w14:textId="0010009F">
            <w:r>
              <w:t xml:space="preserve">pandas (&gt;= 2.0.0)</w:t>
            </w:r>
          </w:p>
        </w:tc>
        <w:tc>
          <w:p w14:paraId="001000A0" w14:textId="001000A1">
            <w:r>
              <w:t xml:space="preserve">Data loading, cleaning, aggregation, groupby, time-series analysis</w:t>
            </w:r>
          </w:p>
        </w:tc>
      </w:tr>
      <w:tr>
        <w:trPr/>
        <w:tc>
          <w:p w14:paraId="001000A2" w14:textId="001000A3">
            <w:r>
              <w:t xml:space="preserve">matplotlib (&gt;= 3.7.0)</w:t>
            </w:r>
          </w:p>
        </w:tc>
        <w:tc>
          <w:p w14:paraId="001000A4" w14:textId="001000A5">
            <w:r>
              <w:t xml:space="preserve">All chart generation, dashboard GridSpec layout, figure saving</w:t>
            </w:r>
          </w:p>
        </w:tc>
      </w:tr>
      <w:tr>
        <w:trPr/>
        <w:tc>
          <w:p w14:paraId="001000A6" w14:textId="001000A7">
            <w:r>
              <w:t xml:space="preserve">seaborn (&gt;= 0.13.0)</w:t>
            </w:r>
          </w:p>
        </w:tc>
        <w:tc>
          <w:p w14:paraId="001000A8" w14:textId="001000A9">
            <w:r>
              <w:t xml:space="preserve">Colour palette management and plot theme styling</w:t>
            </w:r>
          </w:p>
        </w:tc>
      </w:tr>
      <w:tr>
        <w:trPr/>
        <w:tc>
          <w:p w14:paraId="001000AA" w14:textId="001000AB">
            <w:r>
              <w:t xml:space="preserve">os  (Python built-in)</w:t>
            </w:r>
          </w:p>
        </w:tc>
        <w:tc>
          <w:p w14:paraId="001000AC" w14:textId="001000AD">
            <w:r>
              <w:t xml:space="preserve">Creating the charts/ output directory; constructing file paths</w:t>
            </w:r>
          </w:p>
        </w:tc>
      </w:tr>
    </w:tbl>
    <w:p w14:paraId="001000AE" w14:textId="001000AF">
      <w:pPr>
        <w:pStyle w:val="Heading1"/>
        <w:spacing w:before="200" w:after="100"/>
      </w:pPr>
      <w:r>
        <w:rPr>
          <w:b/>
          <w:color w:val="1F3864"/>
          <w:sz w:val="30"/>
        </w:rPr>
        <w:t xml:space="preserve">7. PROJECT WORKFLOW</w:t>
      </w:r>
    </w:p>
    <w:p w14:paraId="001000B0" w14:textId="001000B1">
      <w:pPr>
        <w:spacing w:after="100"/>
      </w:pPr>
      <w:r>
        <w:rPr>
          <w:sz w:val="22"/>
        </w:rPr>
        <w:t xml:space="preserve">The project follows a linear, reproducible pipeline. Every step is implemented inside a single Python function in the script.</w:t>
      </w:r>
    </w:p>
    <w:p w14:paraId="001000B2" w14:textId="001000B3">
      <w:pPr>
        <w:spacing w:after="60"/>
        <w:jc w:val="center"/>
      </w:pPr>
      <w:r>
        <w:rPr>
          <w:b/>
          <w:sz w:val="20"/>
        </w:rPr>
        <w:t xml:space="preserve">Table 4: Project Workflow Steps</w:t>
      </w:r>
    </w:p>
    <w:tbl>
      <w:tblPr>
        <w:tblW w:w="5000" w:type="pct"/>
        <w:tblBorders>
          <w:top w:val="single" w:sz="4"/>
          <w:left w:val="single" w:sz="4"/>
          <w:bottom w:val="single" w:sz="4"/>
          <w:right w:val="single" w:sz="4"/>
          <w:insideH w:val="single" w:sz="4"/>
          <w:insideV w:val="single" w:sz="4"/>
        </w:tblBorders>
      </w:tblPr>
      <w:tblGrid>
        <w:gridCol w:w="4153"/>
        <w:gridCol w:w="4153"/>
      </w:tblGrid>
      <w:tr>
        <w:trPr>
          <w:tblHeader/>
        </w:trPr>
        <w:tc>
          <w:p w14:paraId="001000B4" w14:textId="001000B5">
            <w:r>
              <w:t xml:space="preserve">Step</w:t>
            </w:r>
          </w:p>
        </w:tc>
        <w:tc>
          <w:p w14:paraId="001000B6" w14:textId="001000B7">
            <w:r>
              <w:t xml:space="preserve">What the Python Code Does</w:t>
            </w:r>
          </w:p>
        </w:tc>
      </w:tr>
      <w:tr>
        <w:trPr/>
        <w:tc>
          <w:p w14:paraId="001000B8" w14:textId="001000B9">
            <w:r>
              <w:t xml:space="preserve">1. Data Loading</w:t>
            </w:r>
          </w:p>
        </w:tc>
        <w:tc>
          <w:p w14:paraId="001000BA" w14:textId="001000BB">
            <w:r>
              <w:t xml:space="preserve">pd.read_csv() loads Sales Dataset.csv. Shape, dtypes and first 5 rows printed.</w:t>
            </w:r>
          </w:p>
        </w:tc>
      </w:tr>
      <w:tr>
        <w:trPr/>
        <w:tc>
          <w:p w14:paraId="001000BC" w14:textId="001000BD">
            <w:r>
              <w:t xml:space="preserve">2. Data Understanding</w:t>
            </w:r>
          </w:p>
        </w:tc>
        <w:tc>
          <w:p w14:paraId="001000BE" w14:textId="001000BF">
            <w:r>
              <w:t xml:space="preserve">Missing values, duplicate count, and numerical column ranges verified.</w:t>
            </w:r>
          </w:p>
        </w:tc>
      </w:tr>
      <w:tr>
        <w:trPr/>
        <w:tc>
          <w:p w14:paraId="001000C0" w14:textId="001000C1">
            <w:r>
              <w:t xml:space="preserve">3. Data Cleaning</w:t>
            </w:r>
          </w:p>
        </w:tc>
        <w:tc>
          <w:p w14:paraId="001000C2" w14:textId="001000C3">
            <w:r>
              <w:t xml:space="preserve">Order Date → datetime; derive Year, Month, Quarter, YM Period; strip whitespace; drop duplicates.</w:t>
            </w:r>
          </w:p>
        </w:tc>
      </w:tr>
      <w:tr>
        <w:trPr/>
        <w:tc>
          <w:p w14:paraId="001000C4" w14:textId="001000C5">
            <w:r>
              <w:t xml:space="preserve">4. KPI Calculation</w:t>
            </w:r>
          </w:p>
        </w:tc>
        <w:tc>
          <w:p w14:paraId="001000C6" w14:textId="001000C7">
            <w:r>
              <w:t xml:space="preserve">9 business KPIs computed using pandas aggregation (sum, mean, nunique).</w:t>
            </w:r>
          </w:p>
        </w:tc>
      </w:tr>
      <w:tr>
        <w:trPr/>
        <w:tc>
          <w:p w14:paraId="001000C8" w14:textId="001000C9">
            <w:r>
              <w:t xml:space="preserve">5. EDA</w:t>
            </w:r>
          </w:p>
        </w:tc>
        <w:tc>
          <w:p w14:paraId="001000CA" w14:textId="001000CB">
            <w:r>
              <w:t xml:space="preserve">10 aggregation views: monthly trend, category, sub-category, state, payment, year, customer.</w:t>
            </w:r>
          </w:p>
        </w:tc>
      </w:tr>
      <w:tr>
        <w:tc>
          <w:p w14:paraId="001000CC" w14:textId="001000CD">
            <w:r>
              <w:t xml:space="preserve">6. Visualisation</w:t>
            </w:r>
          </w:p>
        </w:tc>
        <w:tc>
          <w:p w14:paraId="001000CE" w14:textId="001000CF">
            <w:r>
              <w:t xml:space="preserve">12 charts generated with matplotlib/seaborn and saved as PNG to charts/ folder.</w:t>
            </w:r>
          </w:p>
        </w:tc>
      </w:tr>
      <w:tr>
        <w:tc>
          <w:p w14:paraId="001000D0" w14:textId="001000D1">
            <w:r>
              <w:t xml:space="preserve">7. Dashboard</w:t>
            </w:r>
          </w:p>
        </w:tc>
        <w:tc>
          <w:p w14:paraId="001000D2" w14:textId="001000D3">
            <w:r>
              <w:t xml:space="preserve">Single-page dark-theme dashboard with 8 KPI cards + 6 embedded charts using GridSpec.</w:t>
            </w:r>
          </w:p>
        </w:tc>
      </w:tr>
      <w:tr>
        <w:tc>
          <w:p w14:paraId="001000D4" w14:textId="001000D5">
            <w:r>
              <w:t xml:space="preserve">8. Insights &amp; Recommendations</w:t>
            </w:r>
          </w:p>
        </w:tc>
        <w:tc>
          <w:p w14:paraId="001000D6" w14:textId="001000D7">
            <w:r>
              <w:t xml:space="preserve">10 insights and 8 recommendations printed to console from computed results.</w:t>
            </w:r>
          </w:p>
        </w:tc>
      </w:tr>
    </w:tbl>
    <w:p w14:paraId="001000D8" w14:textId="001000D9">
      <w:pPr>
        <w:pStyle w:val="Heading1"/>
        <w:spacing w:before="200" w:after="100"/>
      </w:pPr>
      <w:r>
        <w:rPr>
          <w:b/>
          <w:color w:val="1F3864"/>
          <w:sz w:val="30"/>
        </w:rPr>
        <w:t xml:space="preserve">8. DATA LOADING AND DATA UNDERSTANDING</w:t>
      </w:r>
    </w:p>
    <w:p w14:paraId="001000DA" w14:textId="001000DB">
      <w:pPr>
        <w:spacing w:after="100"/>
      </w:pPr>
      <w:r>
        <w:rPr>
          <w:sz w:val="22"/>
        </w:rPr>
        <w:t xml:space="preserve">The load_data() function uses pd.read_csv() to load the CSV file. The DATA_PATH variable at the top of the script lets any user change the file location without modifying analysis logic. After loading, the function prints the dataset shape, column names, data types, and the first five rows.</w:t>
      </w:r>
    </w:p>
    <w:p w14:paraId="001000DC" w14:textId="001000DD">
      <w:pPr>
        <w:spacing w:after="60"/>
      </w:pPr>
      <w:r>
        <w:rPr>
          <w:b/>
          <w:sz w:val="22"/>
        </w:rPr>
        <w:t xml:space="preserve">Code Snippet — Loading and Inspecting the Dataset:</w:t>
      </w:r>
    </w:p>
    <w:p w14:paraId="001000DE" w14:textId="001000DF">
      <w:pPr>
        <w:spacing w:after="20"/>
      </w:pPr>
      <w:r>
        <w:rPr>
          <w:color w:val="1F3864"/>
          <w:sz w:val="20"/>
        </w:rPr>
        <w:t xml:space="preserve">DATA_PATH = "Sales Dataset.csv"</w:t>
      </w:r>
    </w:p>
    <w:p w14:paraId="001000E0" w14:textId="001000E1">
      <w:pPr>
        <w:spacing w:after="20"/>
      </w:pPr>
      <w:r>
        <w:rPr>
          <w:color w:val="1F3864"/>
          <w:sz w:val="20"/>
        </w:rPr>
        <w:t xml:space="preserve">df = pd.read_csv(DATA_PATH)</w:t>
      </w:r>
    </w:p>
    <w:p w14:paraId="001000E2" w14:textId="001000E3">
      <w:pPr>
        <w:spacing w:after="20"/>
      </w:pPr>
      <w:r>
        <w:rPr>
          <w:color w:val="1F3864"/>
          <w:sz w:val="20"/>
        </w:rPr>
        <w:t xml:space="preserve">print(df.shape)         # (1194, 12)</w:t>
      </w:r>
    </w:p>
    <w:p w14:paraId="001000E4" w14:textId="001000E5">
      <w:pPr>
        <w:spacing w:after="20"/>
      </w:pPr>
      <w:r>
        <w:rPr>
          <w:color w:val="1F3864"/>
          <w:sz w:val="20"/>
        </w:rPr>
        <w:t xml:space="preserve">print(df.dtypes)        # column data types</w:t>
      </w:r>
    </w:p>
    <w:p w14:paraId="001000E6" w14:textId="001000E7">
      <w:pPr>
        <w:spacing w:after="100"/>
      </w:pPr>
      <w:r>
        <w:rPr>
          <w:color w:val="1F3864"/>
          <w:sz w:val="20"/>
        </w:rPr>
        <w:t xml:space="preserve">print(df.isnull().sum()) # 0 missing values</w:t>
      </w:r>
    </w:p>
    <w:p w14:paraId="001000E8" w14:textId="001000E9">
      <w:pPr>
        <w:spacing w:after="100"/>
      </w:pPr>
      <w:r>
        <w:rPr>
          <w:sz w:val="22"/>
        </w:rPr>
        <w:t xml:space="preserve">This code loads the CSV, confirms the dataset has 1,194 rows and 12 columns, prints every column's data type, and verifies that there are zero missing values.</w:t>
      </w:r>
    </w:p>
    <w:p w14:paraId="001000EA" w14:textId="001000EB">
      <w:pPr>
        <w:spacing w:after="60"/>
        <w:jc w:val="center"/>
      </w:pPr>
      <w:r>
        <w:rPr>
          <w:b/>
          <w:sz w:val="20"/>
        </w:rPr>
        <w:t xml:space="preserve">Table 5: Initial Statistical Overview</w:t>
      </w:r>
    </w:p>
    <w:tbl>
      <w:tblPr>
        <w:tblW w:w="5000" w:type="pct"/>
        <w:tblBorders>
          <w:top w:val="single" w:sz="4"/>
          <w:left w:val="single" w:sz="4"/>
          <w:bottom w:val="single" w:sz="4"/>
          <w:right w:val="single" w:sz="4"/>
          <w:insideH w:val="single" w:sz="4"/>
          <w:insideV w:val="single" w:sz="4"/>
        </w:tblBorders>
      </w:tblPr>
      <w:tblGrid>
        <w:gridCol w:w="4153"/>
        <w:gridCol w:w="4153"/>
      </w:tblGrid>
      <w:tr>
        <w:trPr>
          <w:tblHeader/>
        </w:trPr>
        <w:tc>
          <w:p w14:paraId="001000EC" w14:textId="001000ED">
            <w:r>
              <w:t xml:space="preserve">Metric</w:t>
            </w:r>
          </w:p>
        </w:tc>
        <w:tc>
          <w:p w14:paraId="001000EE" w14:textId="001000EF">
            <w:r>
              <w:t xml:space="preserve">Amount ($)  |  Profit ($)  |  Quantity</w:t>
            </w:r>
          </w:p>
        </w:tc>
      </w:tr>
      <w:tr>
        <w:trPr/>
        <w:tc>
          <w:p w14:paraId="001000F0" w14:textId="001000F1">
            <w:r>
              <w:t xml:space="preserve">Minimum</w:t>
            </w:r>
          </w:p>
        </w:tc>
        <w:tc>
          <w:p w14:paraId="001000F2" w14:textId="001000F3">
            <w:r>
              <w:t xml:space="preserve">508  |  50  |  1</w:t>
            </w:r>
          </w:p>
        </w:tc>
      </w:tr>
      <w:tr>
        <w:trPr/>
        <w:tc>
          <w:p w14:paraId="001000F4" w14:textId="001000F5">
            <w:r>
              <w:t xml:space="preserve">Maximum</w:t>
            </w:r>
          </w:p>
        </w:tc>
        <w:tc>
          <w:p w14:paraId="001000F6" w14:textId="001000F7">
            <w:r>
              <w:t xml:space="preserve">9,992  |  4,930  |  20</w:t>
            </w:r>
          </w:p>
        </w:tc>
      </w:tr>
      <w:tr>
        <w:trPr/>
        <w:tc>
          <w:p w14:paraId="001000F8" w14:textId="001000F9">
            <w:r>
              <w:t xml:space="preserve">Mean</w:t>
            </w:r>
          </w:p>
        </w:tc>
        <w:tc>
          <w:p w14:paraId="001000FA" w14:textId="001000FB">
            <w:r>
              <w:t xml:space="preserve">5,178  |  1,349  |  10.7</w:t>
            </w:r>
          </w:p>
        </w:tc>
      </w:tr>
      <w:tr>
        <w:trPr/>
        <w:tc>
          <w:p w14:paraId="001000FC" w14:textId="001000FD">
            <w:r>
              <w:t xml:space="preserve">Total (Sum)</w:t>
            </w:r>
          </w:p>
        </w:tc>
        <w:tc>
          <w:p w14:paraId="001000FE" w14:textId="001000FF">
            <w:r>
              <w:t xml:space="preserve">6,182,639  |  1,610,697  |  12,745</w:t>
            </w:r>
          </w:p>
        </w:tc>
      </w:tr>
      <w:tr>
        <w:trPr/>
        <w:tc>
          <w:p w14:paraId="00100100" w14:textId="00100101">
            <w:r>
              <w:t xml:space="preserve">Missing / Negatives</w:t>
            </w:r>
          </w:p>
        </w:tc>
        <w:tc>
          <w:p w14:paraId="00100102" w14:textId="00100103">
            <w:r>
              <w:t xml:space="preserve">0 missing  |  0 negative  |  0 negative</w:t>
            </w:r>
          </w:p>
        </w:tc>
      </w:tr>
    </w:tbl>
    <w:p w14:paraId="00100104" w14:textId="00100105">
      <w:pPr>
        <w:pStyle w:val="Heading1"/>
        <w:spacing w:before="200" w:after="100"/>
      </w:pPr>
      <w:r>
        <w:rPr>
          <w:b/>
          <w:color w:val="1F3864"/>
          <w:sz w:val="30"/>
        </w:rPr>
        <w:t xml:space="preserve">9. DATA CLEANING AND PREPROCESSING</w:t>
      </w:r>
    </w:p>
    <w:p w14:paraId="00100106" w14:textId="00100107">
      <w:pPr>
        <w:spacing w:after="100"/>
      </w:pPr>
      <w:r>
        <w:rPr>
          <w:sz w:val="22"/>
        </w:rPr>
        <w:t xml:space="preserve">The clean_data() function applies the following preprocessing steps. The dataset was already clean — the main task was type conversion and feature engineering.</w:t>
      </w:r>
    </w:p>
    <w:p w14:paraId="00100108" w14:textId="00100109">
      <w:pPr>
        <w:spacing w:after="60"/>
      </w:pPr>
      <w:r>
        <w:rPr>
          <w:b/>
          <w:sz w:val="22"/>
        </w:rPr>
        <w:t xml:space="preserve">Code Snippet — Date Conversion and Feature Derivation:</w:t>
      </w:r>
    </w:p>
    <w:p w14:paraId="0010010A" w14:textId="0010010B">
      <w:pPr>
        <w:spacing w:after="20"/>
      </w:pPr>
      <w:r>
        <w:rPr>
          <w:color w:val="1F3864"/>
          <w:sz w:val="20"/>
        </w:rPr>
        <w:t xml:space="preserve">df["Order Date"] = pd.to_datetime(df["Order Date"], format="%Y-%m-%d")</w:t>
      </w:r>
    </w:p>
    <w:p w14:paraId="0010010C" w14:textId="0010010D">
      <w:pPr>
        <w:spacing w:after="20"/>
      </w:pPr>
      <w:r>
        <w:rPr>
          <w:color w:val="1F3864"/>
          <w:sz w:val="20"/>
        </w:rPr>
        <w:t xml:space="preserve">df["Year"]       = df["Order Date"].dt.year</w:t>
      </w:r>
    </w:p>
    <w:p w14:paraId="0010010E" w14:textId="0010010F">
      <w:pPr>
        <w:spacing w:after="20"/>
      </w:pPr>
      <w:r>
        <w:rPr>
          <w:color w:val="1F3864"/>
          <w:sz w:val="20"/>
        </w:rPr>
        <w:t xml:space="preserve">df["Month"]      = df["Order Date"].dt.month</w:t>
      </w:r>
    </w:p>
    <w:p w14:paraId="00100110" w14:textId="00100111">
      <w:pPr>
        <w:spacing w:after="20"/>
      </w:pPr>
      <w:r>
        <w:rPr>
          <w:color w:val="1F3864"/>
          <w:sz w:val="20"/>
        </w:rPr>
        <w:t xml:space="preserve">df["Quarter"]    = df["Order Date"].dt.to_period("Q").astype(str)</w:t>
      </w:r>
    </w:p>
    <w:p w14:paraId="00100112" w14:textId="00100113">
      <w:pPr>
        <w:spacing w:after="100"/>
      </w:pPr>
      <w:r>
        <w:rPr>
          <w:color w:val="1F3864"/>
          <w:sz w:val="20"/>
        </w:rPr>
        <w:t xml:space="preserve">df["YM Period"]  = pd.to_datetime(df["Year-Month"], format="%Y-%m").dt.to_period("M")</w:t>
      </w:r>
    </w:p>
    <w:p w14:paraId="00100114" w14:textId="00100115">
      <w:pPr>
        <w:spacing w:after="100"/>
      </w:pPr>
      <w:r>
        <w:rPr>
          <w:sz w:val="22"/>
        </w:rPr>
        <w:t xml:space="preserve">This converts the date string to a proper datetime object and creates four analytical columns (Year, Month, Quarter, YM Period) needed for trend analysis and time-series grouping.</w:t>
      </w:r>
    </w:p>
    <w:p w14:paraId="00100116" w14:textId="00100117">
      <w:pPr>
        <w:spacing w:after="60"/>
        <w:jc w:val="center"/>
      </w:pPr>
      <w:r>
        <w:rPr>
          <w:b/>
          <w:sz w:val="20"/>
        </w:rPr>
        <w:t xml:space="preserve">Table 6: Data Cleaning Steps</w:t>
      </w:r>
    </w:p>
    <w:tbl>
      <w:tblPr>
        <w:tblW w:w="5000" w:type="pct"/>
        <w:tblBorders>
          <w:top w:val="single" w:sz="4"/>
          <w:left w:val="single" w:sz="4"/>
          <w:bottom w:val="single" w:sz="4"/>
          <w:right w:val="single" w:sz="4"/>
          <w:insideH w:val="single" w:sz="4"/>
          <w:insideV w:val="single" w:sz="4"/>
        </w:tblBorders>
      </w:tblPr>
      <w:tblGrid>
        <w:gridCol w:w="4153"/>
        <w:gridCol w:w="4153"/>
      </w:tblGrid>
      <w:tr>
        <w:trPr>
          <w:tblHeader/>
        </w:trPr>
        <w:tc>
          <w:p w14:paraId="00100118" w14:textId="00100119">
            <w:r>
              <w:t xml:space="preserve">Step</w:t>
            </w:r>
          </w:p>
        </w:tc>
        <w:tc>
          <w:p w14:paraId="0010011A" w14:textId="0010011B">
            <w:r>
              <w:t xml:space="preserve">What Was Done  |  Why</w:t>
            </w:r>
          </w:p>
        </w:tc>
      </w:tr>
      <w:tr>
        <w:trPr/>
        <w:tc>
          <w:p w14:paraId="0010011C" w14:textId="0010011D">
            <w:r>
              <w:t xml:space="preserve">Missing value check</w:t>
            </w:r>
          </w:p>
        </w:tc>
        <w:tc>
          <w:p w14:paraId="0010011E" w14:textId="0010011F">
            <w:r>
              <w:t xml:space="preserve">0 missing values found — no imputation needed</w:t>
            </w:r>
          </w:p>
        </w:tc>
      </w:tr>
      <w:tr>
        <w:trPr/>
        <w:tc>
          <w:p w14:paraId="00100120" w14:textId="00100121">
            <w:r>
              <w:t xml:space="preserve">Duplicate check</w:t>
            </w:r>
          </w:p>
        </w:tc>
        <w:tc>
          <w:p w14:paraId="00100122" w14:textId="00100123">
            <w:r>
              <w:t xml:space="preserve">0 duplicates — drop_duplicates() applied as safeguard</w:t>
            </w:r>
          </w:p>
        </w:tc>
      </w:tr>
      <w:tr>
        <w:trPr/>
        <w:tc>
          <w:p w14:paraId="00100124" w14:textId="00100125">
            <w:r>
              <w:t xml:space="preserve">Date conversion</w:t>
            </w:r>
          </w:p>
        </w:tc>
        <w:tc>
          <w:p w14:paraId="00100126" w14:textId="00100127">
            <w:r>
              <w:t xml:space="preserve">Order Date: string → datetime64 — enables time-based grouping</w:t>
            </w:r>
          </w:p>
        </w:tc>
      </w:tr>
      <w:tr>
        <w:trPr/>
        <w:tc>
          <w:p w14:paraId="00100128" w14:textId="00100129">
            <w:r>
              <w:t xml:space="preserve">Feature derivation</w:t>
            </w:r>
          </w:p>
        </w:tc>
        <w:tc>
          <w:p w14:paraId="0010012A" w14:textId="0010012B">
            <w:r>
              <w:t xml:space="preserve">Year, Month, Quarter, YM Period added — required for trend analysis</w:t>
            </w:r>
          </w:p>
        </w:tc>
      </w:tr>
      <w:tr>
        <w:trPr/>
        <w:tc>
          <w:p w14:paraId="0010012C" w14:textId="0010012D">
            <w:r>
              <w:t xml:space="preserve">Whitespace trimming</w:t>
            </w:r>
          </w:p>
        </w:tc>
        <w:tc>
          <w:p w14:paraId="0010012E" w14:textId="0010012F">
            <w:r>
              <w:t xml:space="preserve">str.strip() on all text columns — prevents groupby mismatches</w:t>
            </w:r>
          </w:p>
        </w:tc>
      </w:tr>
    </w:tbl>
    <w:p w14:paraId="00100130" w14:textId="00100131">
      <w:pPr>
        <w:pStyle w:val="Heading1"/>
        <w:spacing w:before="200" w:after="100"/>
      </w:pPr>
      <w:r>
        <w:rPr>
          <w:b/>
          <w:color w:val="1F3864"/>
          <w:sz w:val="30"/>
        </w:rPr>
        <w:t xml:space="preserve">10. EXPLORATORY DATA ANALYSIS</w:t>
      </w:r>
    </w:p>
    <w:p w14:paraId="00100132" w14:textId="00100133">
      <w:pPr>
        <w:spacing w:after="100"/>
      </w:pPr>
      <w:r>
        <w:rPr>
          <w:sz w:val="22"/>
        </w:rPr>
        <w:t xml:space="preserve">The run_eda() function computes ten analytical aggregations using pandas groupby. Results are returned as a dictionary used by both the chart generator and the dashboard.</w:t>
      </w:r>
    </w:p>
    <w:p w14:paraId="00100134" w14:textId="00100135">
      <w:pPr>
        <w:spacing w:after="60"/>
      </w:pPr>
      <w:r>
        <w:rPr>
          <w:b/>
          <w:sz w:val="22"/>
        </w:rPr>
        <w:t xml:space="preserve">Code Snippet — Category and State Analysis:</w:t>
      </w:r>
    </w:p>
    <w:p w14:paraId="00100136" w14:textId="00100137">
      <w:pPr>
        <w:spacing w:after="20"/>
      </w:pPr>
      <w:r>
        <w:rPr>
          <w:color w:val="1F3864"/>
          <w:sz w:val="20"/>
        </w:rPr>
        <w:t xml:space="preserve">by_category = df.groupby("Category")[["Amount","Profit"]].sum()</w:t>
      </w:r>
    </w:p>
    <w:p w14:paraId="00100138" w14:textId="00100139">
      <w:pPr>
        <w:spacing w:after="20"/>
      </w:pPr>
      <w:r>
        <w:rPr>
          <w:color w:val="1F3864"/>
          <w:sz w:val="20"/>
        </w:rPr>
        <w:t xml:space="preserve">             .sort_values("Amount", ascending=False).reset_index()</w:t>
      </w:r>
    </w:p>
    <w:p w14:paraId="0010013A" w14:textId="0010013B">
      <w:pPr>
        <w:spacing w:after="20"/>
      </w:pPr>
      <w:r>
        <w:rPr>
          <w:color w:val="1F3864"/>
          <w:sz w:val="20"/>
        </w:rPr>
        <w:t xml:space="preserve">by_state    = df.groupby("State")[["Amount","Profit"]].sum()</w:t>
      </w:r>
    </w:p>
    <w:p w14:paraId="0010013C" w14:textId="0010013D">
      <w:pPr>
        <w:spacing w:after="100"/>
      </w:pPr>
      <w:r>
        <w:rPr>
          <w:color w:val="1F3864"/>
          <w:sz w:val="20"/>
        </w:rPr>
        <w:t xml:space="preserve">             .sort_values("Amount", ascending=False).reset_index()</w:t>
      </w:r>
    </w:p>
    <w:p w14:paraId="0010013E" w14:textId="0010013F">
      <w:pPr>
        <w:spacing w:after="100"/>
      </w:pPr>
      <w:r>
        <w:rPr>
          <w:sz w:val="22"/>
        </w:rPr>
        <w:t xml:space="preserve">This groups all transactions by Category and State, sums the Amount and Profit, and sorts from highest to lowest. The result is used directly to produce bar charts and populate the dashboard.</w:t>
      </w:r>
    </w:p>
    <w:p w14:paraId="00100140" w14:textId="00100141">
      <w:pPr>
        <w:spacing w:after="80"/>
      </w:pPr>
      <w:r>
        <w:rPr>
          <w:sz w:val="22"/>
        </w:rPr>
        <w:t xml:space="preserve">Sales by Category:  Office Supplies leads with $2,089,510 (26.4% margin), followed by Electronics ($2,054,456 — 25.2%) and Furniture ($2,038,673 — 26.5%). All three categories are nearly equal, indicating a balanced product portfolio.</w:t>
      </w:r>
    </w:p>
    <w:p w14:paraId="00100142" w14:textId="00100143">
      <w:pPr>
        <w:spacing w:after="80"/>
      </w:pPr>
      <w:r>
        <w:rPr>
          <w:sz w:val="22"/>
        </w:rPr>
        <w:t xml:space="preserve">Sales by Sub-Category:  Markers ($627,875) and Tables ($625,177) are the two highest-performing sub-categories. Binders ($384,611) is the weakest — a $243K gap below the leader.</w:t>
      </w:r>
    </w:p>
    <w:p w14:paraId="00100144" w14:textId="00100145">
      <w:pPr>
        <w:spacing w:after="80"/>
      </w:pPr>
      <w:r>
        <w:rPr>
          <w:sz w:val="22"/>
        </w:rPr>
        <w:t xml:space="preserve">Sales by State:  New York leads ($1,130,048). Florida earns the most profit ($308,706). Ohio is the weakest state ($884,768). All six states contribute meaningfully.</w:t>
      </w:r>
    </w:p>
    <w:p w14:paraId="00100146" w14:textId="00100147">
      <w:pPr>
        <w:spacing w:after="80"/>
      </w:pPr>
      <w:r>
        <w:rPr>
          <w:sz w:val="22"/>
        </w:rPr>
        <w:t xml:space="preserve">Payment Mode:  Debit Card tops all modes ($1,395,035). Digital payment modes together account for ~78% of sales.</w:t>
      </w:r>
    </w:p>
    <w:p w14:paraId="00100148" w14:textId="00100149">
      <w:pPr>
        <w:spacing w:after="80"/>
      </w:pPr>
      <w:r>
        <w:rPr>
          <w:sz w:val="22"/>
        </w:rPr>
        <w:t xml:space="preserve">Yearly Trend:  Sales grew consistently from $859,401 (2020) to $1,459,775 (2022), then moderated slightly in 2023–2024. December 2022 was the single peak month at $204,413.</w:t>
      </w:r>
    </w:p>
    <w:p w14:paraId="0010014A" w14:textId="0010014B">
      <w:pPr>
        <w:spacing w:after="160"/>
      </w:pPr>
      <w:r>
        <w:rPr>
          <w:sz w:val="22"/>
        </w:rPr>
        <w:t xml:space="preserve">Customer Analysis:  802 unique customers, 547 unique orders. Top customer: Cory Evans ($28,557). Average order value: $11,303.</w:t>
      </w:r>
    </w:p>
    <w:p w14:paraId="0010014C" w14:textId="0010014D">
      <w:pPr>
        <w:pStyle w:val="Heading1"/>
        <w:spacing w:after="100"/>
      </w:pPr>
      <w:r>
        <w:rPr>
          <w:b/>
          <w:color w:val="1F3864"/>
          <w:sz w:val="30"/>
        </w:rPr>
        <w:t xml:space="preserve">11. KPI ANALYSIS</w:t>
      </w:r>
    </w:p>
    <w:p w14:paraId="0010014E" w14:textId="0010014F">
      <w:pPr>
        <w:spacing w:after="60"/>
      </w:pPr>
      <w:r>
        <w:rPr>
          <w:b/>
          <w:sz w:val="22"/>
        </w:rPr>
        <w:t xml:space="preserve">Code Snippet — KPI Calculation:</w:t>
      </w:r>
    </w:p>
    <w:p w14:paraId="00100150" w14:textId="00100151">
      <w:pPr>
        <w:spacing w:after="20"/>
      </w:pPr>
      <w:r>
        <w:rPr>
          <w:color w:val="1F3864"/>
          <w:sz w:val="20"/>
        </w:rPr>
        <w:t xml:space="preserve">kpis["total_sales"]     = df["Amount"].sum()</w:t>
      </w:r>
    </w:p>
    <w:p w14:paraId="00100152" w14:textId="00100153">
      <w:pPr>
        <w:spacing w:after="20"/>
      </w:pPr>
      <w:r>
        <w:rPr>
          <w:color w:val="1F3864"/>
          <w:sz w:val="20"/>
        </w:rPr>
        <w:t xml:space="preserve">kpis["total_profit"]    = df["Profit"].sum()</w:t>
      </w:r>
    </w:p>
    <w:p w14:paraId="00100154" w14:textId="00100155">
      <w:pPr>
        <w:spacing w:after="20"/>
      </w:pPr>
      <w:r>
        <w:rPr>
          <w:color w:val="1F3864"/>
          <w:sz w:val="20"/>
        </w:rPr>
        <w:t xml:space="preserve">kpis["total_orders"]    = df["Order ID"].nunique()</w:t>
      </w:r>
    </w:p>
    <w:p w14:paraId="00100156" w14:textId="00100157">
      <w:pPr>
        <w:spacing w:after="20"/>
      </w:pPr>
      <w:r>
        <w:rPr>
          <w:color w:val="1F3864"/>
          <w:sz w:val="20"/>
        </w:rPr>
        <w:t xml:space="preserve">kpis["avg_order_value"] = df.groupby("Order ID")["Amount"].sum().mean()</w:t>
      </w:r>
    </w:p>
    <w:p w14:paraId="00100158" w14:textId="00100159">
      <w:pPr>
        <w:spacing w:after="100"/>
      </w:pPr>
      <w:r>
        <w:rPr>
          <w:color w:val="1F3864"/>
          <w:sz w:val="20"/>
        </w:rPr>
        <w:t xml:space="preserve">kpis["profit_margin"]   = (kpis["total_profit"] / kpis["total_sales"]) * 100</w:t>
      </w:r>
    </w:p>
    <w:p w14:paraId="0010015A" w14:textId="0010015B">
      <w:pPr>
        <w:spacing w:after="100"/>
      </w:pPr>
      <w:r>
        <w:rPr>
          <w:sz w:val="22"/>
        </w:rPr>
        <w:t xml:space="preserve">All nine KPIs are calculated directly from the DataFrame. No values are hard-coded. The table below shows the actual computed results.</w:t>
      </w:r>
    </w:p>
    <w:p w14:paraId="0010015C" w14:textId="0010015D">
      <w:pPr>
        <w:spacing w:after="60"/>
        <w:jc w:val="center"/>
      </w:pPr>
      <w:r>
        <w:rPr>
          <w:b/>
          <w:sz w:val="20"/>
        </w:rPr>
        <w:t xml:space="preserve">Table 7: Key Performance Indicators (Actual Values)</w:t>
      </w:r>
    </w:p>
    <w:tbl>
      <w:tblPr>
        <w:tblW w:w="5000" w:type="pct"/>
        <w:tblBorders>
          <w:top w:val="single" w:sz="4"/>
          <w:left w:val="single" w:sz="4"/>
          <w:bottom w:val="single" w:sz="4"/>
          <w:right w:val="single" w:sz="4"/>
          <w:insideH w:val="single" w:sz="4"/>
          <w:insideV w:val="single" w:sz="4"/>
        </w:tblBorders>
      </w:tblPr>
      <w:tblGrid>
        <w:gridCol w:w="4153"/>
        <w:gridCol w:w="4153"/>
      </w:tblGrid>
      <w:tr>
        <w:trPr>
          <w:tblHeader/>
        </w:trPr>
        <w:tc>
          <w:p w14:paraId="0010015E" w14:textId="0010015F">
            <w:r>
              <w:t xml:space="preserve">KPI</w:t>
            </w:r>
          </w:p>
        </w:tc>
        <w:tc>
          <w:p w14:paraId="00100160" w14:textId="00100161">
            <w:r>
              <w:t xml:space="preserve">Actual Value</w:t>
            </w:r>
          </w:p>
        </w:tc>
      </w:tr>
      <w:tr>
        <w:trPr/>
        <w:tc>
          <w:p w14:paraId="00100162" w14:textId="00100163">
            <w:r>
              <w:t xml:space="preserve">Total Sales</w:t>
            </w:r>
          </w:p>
        </w:tc>
        <w:tc>
          <w:p w14:paraId="00100164" w14:textId="00100165">
            <w:r>
              <w:t xml:space="preserve">$6,182,639</w:t>
            </w:r>
          </w:p>
        </w:tc>
      </w:tr>
      <w:tr>
        <w:trPr/>
        <w:tc>
          <w:p w14:paraId="00100166" w14:textId="00100167">
            <w:r>
              <w:t xml:space="preserve">Total Profit</w:t>
            </w:r>
          </w:p>
        </w:tc>
        <w:tc>
          <w:p w14:paraId="00100168" w14:textId="00100169">
            <w:r>
              <w:t xml:space="preserve">$1,610,697</w:t>
            </w:r>
          </w:p>
        </w:tc>
      </w:tr>
      <w:tr>
        <w:trPr/>
        <w:tc>
          <w:p w14:paraId="0010016A" w14:textId="0010016B">
            <w:r>
              <w:t xml:space="preserve">Overall Profit Margin</w:t>
            </w:r>
          </w:p>
        </w:tc>
        <w:tc>
          <w:p w14:paraId="0010016C" w14:textId="0010016D">
            <w:r>
              <w:t xml:space="preserve">26.05%</w:t>
            </w:r>
          </w:p>
        </w:tc>
      </w:tr>
      <w:tr>
        <w:trPr/>
        <w:tc>
          <w:p w14:paraId="0010016E" w14:textId="0010016F">
            <w:r>
              <w:t xml:space="preserve">Total Unique Orders</w:t>
            </w:r>
          </w:p>
        </w:tc>
        <w:tc>
          <w:p w14:paraId="00100170" w14:textId="00100171">
            <w:r>
              <w:t xml:space="preserve">547</w:t>
            </w:r>
          </w:p>
        </w:tc>
      </w:tr>
      <w:tr>
        <w:trPr/>
        <w:tc>
          <w:p w14:paraId="00100172" w14:textId="00100173">
            <w:r>
              <w:t xml:space="preserve">Total Transactions</w:t>
            </w:r>
          </w:p>
        </w:tc>
        <w:tc>
          <w:p w14:paraId="00100174" w14:textId="00100175">
            <w:r>
              <w:t xml:space="preserve">1,194</w:t>
            </w:r>
          </w:p>
        </w:tc>
      </w:tr>
      <w:tr>
        <w:tc>
          <w:p w14:paraId="00100176" w14:textId="00100177">
            <w:r>
              <w:t xml:space="preserve">Total Quantity Sold</w:t>
            </w:r>
          </w:p>
        </w:tc>
        <w:tc>
          <w:p w14:paraId="00100178" w14:textId="00100179">
            <w:r>
              <w:t xml:space="preserve">12,745 units</w:t>
            </w:r>
          </w:p>
        </w:tc>
      </w:tr>
      <w:tr>
        <w:tc>
          <w:p w14:paraId="0010017A" w14:textId="0010017B">
            <w:r>
              <w:t xml:space="preserve">Average Order Value</w:t>
            </w:r>
          </w:p>
        </w:tc>
        <w:tc>
          <w:p w14:paraId="0010017C" w14:textId="0010017D">
            <w:r>
              <w:t xml:space="preserve">$11,303</w:t>
            </w:r>
          </w:p>
        </w:tc>
      </w:tr>
      <w:tr>
        <w:tc>
          <w:p w14:paraId="0010017E" w14:textId="0010017F">
            <w:r>
              <w:t xml:space="preserve">Average Profit per Transaction</w:t>
            </w:r>
          </w:p>
        </w:tc>
        <w:tc>
          <w:p w14:paraId="00100180" w14:textId="00100181">
            <w:r>
              <w:t xml:space="preserve">$1,349</w:t>
            </w:r>
          </w:p>
        </w:tc>
      </w:tr>
      <w:tr>
        <w:tc>
          <w:p w14:paraId="00100182" w14:textId="00100183">
            <w:r>
              <w:t xml:space="preserve">Unique Customers</w:t>
            </w:r>
          </w:p>
        </w:tc>
        <w:tc>
          <w:p w14:paraId="00100184" w14:textId="00100185">
            <w:r>
              <w:t xml:space="preserve">802</w:t>
            </w:r>
          </w:p>
        </w:tc>
      </w:tr>
    </w:tbl>
    <w:p w14:paraId="00100186" w14:textId="00100187">
      <w:pPr>
        <w:pStyle w:val="Heading1"/>
        <w:spacing w:before="200" w:after="100"/>
      </w:pPr>
      <w:r>
        <w:rPr>
          <w:b/>
          <w:color w:val="1F3864"/>
          <w:sz w:val="30"/>
        </w:rPr>
        <w:t xml:space="preserve">12. IMPORTANT PYTHON CODE EXPLANATION</w:t>
      </w:r>
    </w:p>
    <w:p w14:paraId="00100188" w14:textId="00100189">
      <w:pPr>
        <w:spacing w:after="60"/>
      </w:pPr>
      <w:r>
        <w:rPr>
          <w:b/>
          <w:sz w:val="24"/>
        </w:rPr>
        <w:t xml:space="preserve">12.1 Importing Libraries</w:t>
      </w:r>
    </w:p>
    <w:p w14:paraId="0010018A" w14:textId="0010018B">
      <w:pPr>
        <w:spacing w:after="20"/>
      </w:pPr>
      <w:r>
        <w:rPr>
          <w:color w:val="1F3864"/>
          <w:sz w:val="20"/>
        </w:rPr>
        <w:t xml:space="preserve">import os, warnings</w:t>
      </w:r>
    </w:p>
    <w:p w14:paraId="0010018C" w14:textId="0010018D">
      <w:pPr>
        <w:spacing w:after="20"/>
      </w:pPr>
      <w:r>
        <w:rPr>
          <w:color w:val="1F3864"/>
          <w:sz w:val="20"/>
        </w:rPr>
        <w:t xml:space="preserve">import pandas as pd</w:t>
      </w:r>
    </w:p>
    <w:p w14:paraId="0010018E" w14:textId="0010018F">
      <w:pPr>
        <w:spacing w:after="20"/>
      </w:pPr>
      <w:r>
        <w:rPr>
          <w:color w:val="1F3864"/>
          <w:sz w:val="20"/>
        </w:rPr>
        <w:t xml:space="preserve">import matplotlib.pyplot as plt</w:t>
      </w:r>
    </w:p>
    <w:p w14:paraId="00100190" w14:textId="00100191">
      <w:pPr>
        <w:spacing w:after="20"/>
      </w:pPr>
      <w:r>
        <w:rPr>
          <w:color w:val="1F3864"/>
          <w:sz w:val="20"/>
        </w:rPr>
        <w:t xml:space="preserve">import matplotlib.gridspec as gridspec</w:t>
      </w:r>
    </w:p>
    <w:p w14:paraId="00100192" w14:textId="00100193">
      <w:pPr>
        <w:spacing w:after="20"/>
      </w:pPr>
      <w:r>
        <w:rPr>
          <w:color w:val="1F3864"/>
          <w:sz w:val="20"/>
        </w:rPr>
        <w:t xml:space="preserve">import seaborn as sns</w:t>
      </w:r>
    </w:p>
    <w:p w14:paraId="00100194" w14:textId="00100195">
      <w:pPr>
        <w:spacing w:after="80"/>
      </w:pPr>
      <w:r>
        <w:rPr>
          <w:color w:val="1F3864"/>
          <w:sz w:val="20"/>
        </w:rPr>
        <w:t xml:space="preserve">from matplotlib.ticker import FuncFormatter</w:t>
      </w:r>
    </w:p>
    <w:p w14:paraId="00100196" w14:textId="00100197">
      <w:pPr>
        <w:spacing w:after="140"/>
      </w:pPr>
      <w:r>
        <w:rPr>
          <w:sz w:val="22"/>
        </w:rPr>
        <w:t xml:space="preserve">These imports bring in all required libraries. pandas handles data; matplotlib and seaborn create charts; os manages the charts/ output folder; warnings suppresses non-critical messages during execution.</w:t>
      </w:r>
    </w:p>
    <w:p w14:paraId="00100198" w14:textId="00100199">
      <w:pPr>
        <w:spacing w:after="60"/>
      </w:pPr>
      <w:r>
        <w:rPr>
          <w:b/>
          <w:sz w:val="24"/>
        </w:rPr>
        <w:t xml:space="preserve">12.2 Creating a Chart</w:t>
      </w:r>
    </w:p>
    <w:p w14:paraId="0010019A" w14:textId="0010019B">
      <w:pPr>
        <w:spacing w:after="20"/>
      </w:pPr>
      <w:r>
        <w:rPr>
          <w:color w:val="1F3864"/>
          <w:sz w:val="20"/>
        </w:rPr>
        <w:t xml:space="preserve">fig, ax = plt.subplots(figsize=(8, 5))</w:t>
      </w:r>
    </w:p>
    <w:p w14:paraId="0010019C" w14:textId="0010019D">
      <w:pPr>
        <w:spacing w:after="20"/>
      </w:pPr>
      <w:r>
        <w:rPr>
          <w:color w:val="1F3864"/>
          <w:sz w:val="20"/>
        </w:rPr>
        <w:t xml:space="preserve">bars = ax.bar(cat["Category"], cat["Amount"],</w:t>
      </w:r>
    </w:p>
    <w:p w14:paraId="0010019E" w14:textId="0010019F">
      <w:pPr>
        <w:spacing w:after="20"/>
      </w:pPr>
      <w:r>
        <w:rPr>
          <w:color w:val="1F3864"/>
          <w:sz w:val="20"/>
        </w:rPr>
        <w:t xml:space="preserve">             color=CAT_PALETTE, edgecolor="white", width=0.5)</w:t>
      </w:r>
    </w:p>
    <w:p w14:paraId="001001A0" w14:textId="001001A1">
      <w:pPr>
        <w:spacing w:after="20"/>
      </w:pPr>
      <w:r>
        <w:rPr>
          <w:color w:val="1F3864"/>
          <w:sz w:val="20"/>
        </w:rPr>
        <w:t xml:space="preserve">ax.set_title("Total Sales by Category", fontsize=15, fontweight="bold")</w:t>
      </w:r>
    </w:p>
    <w:p w14:paraId="001001A2" w14:textId="001001A3">
      <w:pPr>
        <w:spacing w:after="20"/>
      </w:pPr>
      <w:r>
        <w:rPr>
          <w:color w:val="1F3864"/>
          <w:sz w:val="20"/>
        </w:rPr>
        <w:t xml:space="preserve">plt.tight_layout()</w:t>
      </w:r>
    </w:p>
    <w:p w14:paraId="001001A4" w14:textId="001001A5">
      <w:pPr>
        <w:spacing w:after="80"/>
      </w:pPr>
      <w:r>
        <w:rPr>
          <w:color w:val="1F3864"/>
          <w:sz w:val="20"/>
        </w:rPr>
        <w:t xml:space="preserve">plt.savefig("charts/sales_by_category.png", bbox_inches="tight")</w:t>
      </w:r>
    </w:p>
    <w:p w14:paraId="001001A6" w14:textId="001001A7">
      <w:pPr>
        <w:spacing w:after="140"/>
      </w:pPr>
      <w:r>
        <w:rPr>
          <w:sz w:val="22"/>
        </w:rPr>
        <w:t xml:space="preserve">This creates a professional bar chart of total sales per category, applies a custom colour palette, adds a bold title and tight layout, then saves it as a PNG file. The same pattern is used for all 12 individual charts.</w:t>
      </w:r>
    </w:p>
    <w:p w14:paraId="001001A8" w14:textId="001001A9">
      <w:pPr>
        <w:spacing w:after="60"/>
      </w:pPr>
      <w:r>
        <w:rPr>
          <w:b/>
          <w:sz w:val="24"/>
        </w:rPr>
        <w:t xml:space="preserve">12.3 Dashboard Layout</w:t>
      </w:r>
    </w:p>
    <w:p w14:paraId="001001AA" w14:textId="001001AB">
      <w:pPr>
        <w:spacing w:after="20"/>
      </w:pPr>
      <w:r>
        <w:rPr>
          <w:color w:val="1F3864"/>
          <w:sz w:val="20"/>
        </w:rPr>
        <w:t xml:space="preserve">fig = plt.figure(figsize=(20, 22), facecolor="#1C2833")</w:t>
      </w:r>
    </w:p>
    <w:p w14:paraId="001001AC" w14:textId="001001AD">
      <w:pPr>
        <w:spacing w:after="20"/>
      </w:pPr>
      <w:r>
        <w:rPr>
          <w:color w:val="1F3864"/>
          <w:sz w:val="20"/>
        </w:rPr>
        <w:t xml:space="preserve">gs  = gridspec.GridSpec(nrows=5, ncols=4, figure=fig, ...)</w:t>
      </w:r>
    </w:p>
    <w:p w14:paraId="001001AE" w14:textId="001001AF">
      <w:pPr>
        <w:spacing w:after="20"/>
      </w:pPr>
      <w:r>
        <w:rPr>
          <w:color w:val="1F3864"/>
          <w:sz w:val="20"/>
        </w:rPr>
        <w:t xml:space="preserve">ax_kpi = fig.add_subplot(gs[0, 0])   # KPI card 1</w:t>
      </w:r>
    </w:p>
    <w:p w14:paraId="001001B0" w14:textId="001001B1">
      <w:pPr>
        <w:spacing w:after="80"/>
      </w:pPr>
      <w:r>
        <w:rPr>
          <w:color w:val="1F3864"/>
          <w:sz w:val="20"/>
        </w:rPr>
        <w:t xml:space="preserve">ax_trend = fig.add_subplot(gs[2, 0:3])  # trend chart</w:t>
      </w:r>
    </w:p>
    <w:p w14:paraId="001001B2" w14:textId="001001B3">
      <w:pPr>
        <w:spacing w:after="160"/>
      </w:pPr>
      <w:r>
        <w:rPr>
          <w:sz w:val="22"/>
        </w:rPr>
        <w:t xml:space="preserve">GridSpec divides the figure canvas into a 5×4 grid. Each KPI card occupies one cell. Charts span multiple cells. This creates the full single-page dashboard-style output saved as sales_dashboard.png.</w:t>
      </w:r>
    </w:p>
    <w:p w14:paraId="00100290" w14:textId="00100291">
      <w:pPr>
        <w:pStyle w:val="Heading1"/>
        <w:spacing w:after="100"/>
      </w:pPr>
      <w:r>
        <w:rPr>
          <w:b/>
          <w:color w:val="1F3864"/>
          <w:sz w:val="30"/>
        </w:rPr>
        <w:t xml:space="preserve">13. DATA VISUALIZATIONS</w:t>
      </w:r>
    </w:p>
    <w:p w14:paraId="00100292" w14:textId="00100293">
      <w:pPr>
        <w:spacing w:after="120"/>
      </w:pPr>
      <w:r>
        <w:rPr>
          <w:sz w:val="22"/>
        </w:rPr>
        <w:t xml:space="preserve">All 13 charts below were generated by the Python script from the actual dataset and saved to the charts/ folder as PNG files.</w:t>
      </w:r>
    </w:p>
    <w:p w14:paraId="001001B4" w14:textId="001001B5">
      <w:pPr>
        <w:spacing w:after="60"/>
        <w:jc w:val="center"/>
      </w:pPr>
      <w:r>
        <w:rPr>
          <w:b/>
          <w:sz w:val="22"/>
        </w:rPr>
        <w:t xml:space="preserve">Figure 1: Monthly Sales and Profit Trend (2020–2025)</w:t>
      </w:r>
    </w:p>
    <w:p w14:paraId="001001B6" w14:textId="001001B7">
      <w:pPr>
        <w:spacing w:line="240" w:lineRule="auto"/>
      </w:pPr>
      <w:r>
        <w:rPr/>
        <w:drawing>
          <wp:inline distT="0" distB="0" distL="0" distR="0">
            <wp:extent cx="5760000" cy="2012530"/>
            <wp:effectExtent l="0" t="0" r="0" b="0"/>
            <wp:docPr id="1" name="monthly_sales_trend.png" descr=""/>
            <wp:cNvGraphicFramePr>
              <a:graphicFrameLocks noChangeAspect="1"/>
            </wp:cNvGraphicFramePr>
            <a:graphic>
              <a:graphicData uri="http://schemas.openxmlformats.org/drawingml/2006/picture">
                <pic:pic>
                  <pic:nvPicPr>
                    <pic:cNvPr id="1" name="monthly_sales_trend.png"/>
                    <pic:cNvPicPr/>
                  </pic:nvPicPr>
                  <pic:blipFill>
                    <a:blip r:embed="R023fef45ecb14ad0" cstate="print"/>
                    <a:stretch>
                      <a:fillRect/>
                    </a:stretch>
                  </pic:blipFill>
                  <pic:spPr>
                    <a:xfrm>
                      <a:off x="0" y="0"/>
                      <a:ext cx="5760000" cy="2012530"/>
                    </a:xfrm>
                    <a:prstGeom prst="rect">
                      <a:avLst/>
                    </a:prstGeom>
                  </pic:spPr>
                </pic:pic>
              </a:graphicData>
            </a:graphic>
          </wp:inline>
        </w:drawing>
      </w:r>
    </w:p>
    <w:p w14:paraId="001001B8" w14:textId="001001B9">
      <w:pPr>
        <w:spacing w:after="40"/>
      </w:pPr>
      <w:r>
        <w:rPr>
          <w:sz w:val="20"/>
        </w:rPr>
        <w:t xml:space="preserve">Technical:  Dual-line chart (ax.plot) with shading via fill_between. X-axis = monthly periods; Y-axis = $ amount.</w:t>
      </w:r>
    </w:p>
    <w:p w14:paraId="001001BA" w14:textId="001001BB">
      <w:pPr>
        <w:spacing w:after="200"/>
      </w:pPr>
      <w:r>
        <w:rPr>
          <w:sz w:val="20"/>
        </w:rPr>
        <w:t xml:space="preserve">Business Interpretation:  Sales grew 2020→2022, peaked in Dec 2022 ($204,413), then moderated slightly in 2023–2024. Year-end months consistently outperform.</w:t>
      </w:r>
    </w:p>
    <w:p w14:paraId="001001BC" w14:textId="001001BD">
      <w:pPr>
        <w:spacing w:after="60"/>
        <w:jc w:val="center"/>
      </w:pPr>
      <w:r>
        <w:rPr>
          <w:b/>
          <w:sz w:val="22"/>
        </w:rPr>
        <w:t xml:space="preserve">Figure 2: Sales by Category</w:t>
      </w:r>
    </w:p>
    <w:p w14:paraId="001001BE" w14:textId="001001BF">
      <w:pPr>
        <w:spacing w:line="240" w:lineRule="auto"/>
      </w:pPr>
      <w:r>
        <w:drawing>
          <wp:inline distT="0" distB="0" distL="0" distR="0">
            <wp:extent cx="4680000" cy="2887659"/>
            <wp:effectExtent l="0" t="0" r="0" b="0"/>
            <wp:docPr id="2" name="sales_by_category.png" descr=""/>
            <wp:cNvGraphicFramePr>
              <a:graphicFrameLocks noChangeAspect="1"/>
            </wp:cNvGraphicFramePr>
            <a:graphic>
              <a:graphicData uri="http://schemas.openxmlformats.org/drawingml/2006/picture">
                <pic:pic>
                  <pic:nvPicPr>
                    <pic:cNvPr id="2" name="sales_by_category.png"/>
                    <pic:cNvPicPr/>
                  </pic:nvPicPr>
                  <pic:blipFill>
                    <a:blip r:embed="Rf1a431177b28460c" cstate="print"/>
                    <a:stretch>
                      <a:fillRect/>
                    </a:stretch>
                  </pic:blipFill>
                  <pic:spPr>
                    <a:xfrm>
                      <a:off x="0" y="0"/>
                      <a:ext cx="4680000" cy="2887659"/>
                    </a:xfrm>
                    <a:prstGeom prst="rect">
                      <a:avLst/>
                    </a:prstGeom>
                  </pic:spPr>
                </pic:pic>
              </a:graphicData>
            </a:graphic>
          </wp:inline>
        </w:drawing>
      </w:r>
    </w:p>
    <w:p w14:paraId="001001C0" w14:textId="001001C1">
      <w:pPr>
        <w:spacing w:after="40"/>
      </w:pPr>
      <w:r>
        <w:rPr>
          <w:sz w:val="20"/>
        </w:rPr>
        <w:t xml:space="preserve">Technical:  Vertical bar chart with per-bar value labels. CAT_PALETTE gives distinct colours for each category.</w:t>
      </w:r>
    </w:p>
    <w:p w14:paraId="001001C2" w14:textId="001001C3">
      <w:pPr>
        <w:spacing w:after="200"/>
      </w:pPr>
      <w:r>
        <w:rPr>
          <w:sz w:val="20"/>
        </w:rPr>
        <w:t xml:space="preserve">Business Interpretation:  Revenue is near-equal across all three — Office Supplies ($2.09M), Electronics ($2.05M), Furniture ($2.04M). No single category dominates.</w:t>
      </w:r>
    </w:p>
    <w:p w14:paraId="001001C4" w14:textId="001001C5">
      <w:pPr>
        <w:spacing w:after="60"/>
        <w:jc w:val="center"/>
      </w:pPr>
      <w:r>
        <w:rPr>
          <w:b/>
          <w:sz w:val="22"/>
        </w:rPr>
        <w:t xml:space="preserve">Figure 3: Profit by Category</w:t>
      </w:r>
    </w:p>
    <w:p w14:paraId="001001C6" w14:textId="001001C7">
      <w:pPr>
        <w:spacing w:line="240" w:lineRule="auto"/>
      </w:pPr>
      <w:r>
        <w:drawing>
          <wp:inline distT="0" distB="0" distL="0" distR="0">
            <wp:extent cx="4680000" cy="2887659"/>
            <wp:effectExtent l="0" t="0" r="0" b="0"/>
            <wp:docPr id="3" name="profit_by_category.png" descr=""/>
            <wp:cNvGraphicFramePr>
              <a:graphicFrameLocks noChangeAspect="1"/>
            </wp:cNvGraphicFramePr>
            <a:graphic>
              <a:graphicData uri="http://schemas.openxmlformats.org/drawingml/2006/picture">
                <pic:pic>
                  <pic:nvPicPr>
                    <pic:cNvPr id="3" name="profit_by_category.png"/>
                    <pic:cNvPicPr/>
                  </pic:nvPicPr>
                  <pic:blipFill>
                    <a:blip r:embed="R914dee43e541445a" cstate="print"/>
                    <a:stretch>
                      <a:fillRect/>
                    </a:stretch>
                  </pic:blipFill>
                  <pic:spPr>
                    <a:xfrm>
                      <a:off x="0" y="0"/>
                      <a:ext cx="4680000" cy="2887659"/>
                    </a:xfrm>
                    <a:prstGeom prst="rect">
                      <a:avLst/>
                    </a:prstGeom>
                  </pic:spPr>
                </pic:pic>
              </a:graphicData>
            </a:graphic>
          </wp:inline>
        </w:drawing>
      </w:r>
    </w:p>
    <w:p w14:paraId="001001C8" w14:textId="001001C9">
      <w:pPr>
        <w:spacing w:after="40"/>
      </w:pPr>
      <w:r>
        <w:rPr>
          <w:sz w:val="20"/>
        </w:rPr>
        <w:t xml:space="preserve">Technical:  Same pattern as the sales chart but using the Profit column. Value labels show exact profit per category.</w:t>
      </w:r>
    </w:p>
    <w:p w14:paraId="001001CA" w14:textId="001001CB">
      <w:pPr>
        <w:spacing w:after="200"/>
      </w:pPr>
      <w:r>
        <w:rPr>
          <w:sz w:val="20"/>
        </w:rPr>
        <w:t xml:space="preserve">Business Interpretation:  Furniture earns $540,542 profit (26.5% margin) — the highest margin despite third-highest sales. Office Supplies: $551,575 (26.4%). Electronics: $518,580 (25.2%).</w:t>
      </w:r>
    </w:p>
    <w:p w14:paraId="001001CC" w14:textId="001001CD">
      <w:pPr>
        <w:spacing w:after="60"/>
        <w:jc w:val="center"/>
      </w:pPr>
      <w:r>
        <w:rPr>
          <w:b/>
          <w:sz w:val="22"/>
        </w:rPr>
        <w:t xml:space="preserve">Figure 4: Top Sub-Categories by Sales</w:t>
      </w:r>
    </w:p>
    <w:p w14:paraId="001001CE" w14:textId="001001CF">
      <w:pPr>
        <w:spacing w:line="240" w:lineRule="auto"/>
      </w:pPr>
      <w:r>
        <w:drawing>
          <wp:inline distT="0" distB="0" distL="0" distR="0">
            <wp:extent cx="5400000" cy="3203389"/>
            <wp:effectExtent l="0" t="0" r="0" b="0"/>
            <wp:docPr id="4" name="top_subcategories_by_sales.png" descr=""/>
            <wp:cNvGraphicFramePr>
              <a:graphicFrameLocks noChangeAspect="1"/>
            </wp:cNvGraphicFramePr>
            <a:graphic>
              <a:graphicData uri="http://schemas.openxmlformats.org/drawingml/2006/picture">
                <pic:pic>
                  <pic:nvPicPr>
                    <pic:cNvPr id="4" name="top_subcategories_by_sales.png"/>
                    <pic:cNvPicPr/>
                  </pic:nvPicPr>
                  <pic:blipFill>
                    <a:blip r:embed="R244df1aa78e641f5" cstate="print"/>
                    <a:stretch>
                      <a:fillRect/>
                    </a:stretch>
                  </pic:blipFill>
                  <pic:spPr>
                    <a:xfrm>
                      <a:off x="0" y="0"/>
                      <a:ext cx="5400000" cy="3203389"/>
                    </a:xfrm>
                    <a:prstGeom prst="rect">
                      <a:avLst/>
                    </a:prstGeom>
                  </pic:spPr>
                </pic:pic>
              </a:graphicData>
            </a:graphic>
          </wp:inline>
        </w:drawing>
      </w:r>
    </w:p>
    <w:p w14:paraId="001001D0" w14:textId="001001D1">
      <w:pPr>
        <w:spacing w:after="40"/>
      </w:pPr>
      <w:r>
        <w:rPr>
          <w:sz w:val="20"/>
        </w:rPr>
        <w:t xml:space="preserve">Technical:  Horizontal bar chart (barh) with value labels at the end of each bar. Each sub-category gets a distinct colour from the tab20 palette.</w:t>
      </w:r>
    </w:p>
    <w:p w14:paraId="001001D2" w14:textId="001001D3">
      <w:pPr>
        <w:spacing w:after="200"/>
      </w:pPr>
      <w:r>
        <w:rPr>
          <w:sz w:val="20"/>
        </w:rPr>
        <w:t xml:space="preserve">Business Interpretation:  Markers ($627,875) and Tables ($625,177) lead. Binders ($384,611) is the weakest — a gap of $243K vs the top performer.</w:t>
      </w:r>
    </w:p>
    <w:p w14:paraId="001001D4" w14:textId="001001D5">
      <w:pPr>
        <w:spacing w:after="60"/>
        <w:jc w:val="center"/>
      </w:pPr>
      <w:r>
        <w:rPr>
          <w:b/>
          <w:sz w:val="22"/>
        </w:rPr>
        <w:t xml:space="preserve">Figure 5: Sales by State</w:t>
      </w:r>
    </w:p>
    <w:p w14:paraId="001001D6" w14:textId="001001D7">
      <w:pPr>
        <w:spacing w:line="240" w:lineRule="auto"/>
      </w:pPr>
      <w:r>
        <w:drawing>
          <wp:inline distT="0" distB="0" distL="0" distR="0">
            <wp:extent cx="5040000" cy="2757735"/>
            <wp:effectExtent l="0" t="0" r="0" b="0"/>
            <wp:docPr id="5" name="sales_by_state.png" descr=""/>
            <wp:cNvGraphicFramePr>
              <a:graphicFrameLocks noChangeAspect="1"/>
            </wp:cNvGraphicFramePr>
            <a:graphic>
              <a:graphicData uri="http://schemas.openxmlformats.org/drawingml/2006/picture">
                <pic:pic>
                  <pic:nvPicPr>
                    <pic:cNvPr id="5" name="sales_by_state.png"/>
                    <pic:cNvPicPr/>
                  </pic:nvPicPr>
                  <pic:blipFill>
                    <a:blip r:embed="Rea514ad57b0b43ac" cstate="print"/>
                    <a:stretch>
                      <a:fillRect/>
                    </a:stretch>
                  </pic:blipFill>
                  <pic:spPr>
                    <a:xfrm>
                      <a:off x="0" y="0"/>
                      <a:ext cx="5040000" cy="2757735"/>
                    </a:xfrm>
                    <a:prstGeom prst="rect">
                      <a:avLst/>
                    </a:prstGeom>
                  </pic:spPr>
                </pic:pic>
              </a:graphicData>
            </a:graphic>
          </wp:inline>
        </w:drawing>
      </w:r>
    </w:p>
    <w:p w14:paraId="001001D8" w14:textId="001001D9">
      <w:pPr>
        <w:spacing w:after="40"/>
      </w:pPr>
      <w:r>
        <w:rPr>
          <w:sz w:val="20"/>
        </w:rPr>
        <w:t xml:space="preserve">Technical:  Vertical bar chart with STATE_PALETTE (Set2 palette). Value labels formatted with dollar signs.</w:t>
      </w:r>
    </w:p>
    <w:p w14:paraId="001001DA" w14:textId="001001DB">
      <w:pPr>
        <w:spacing w:after="200"/>
      </w:pPr>
      <w:r>
        <w:rPr>
          <w:sz w:val="20"/>
        </w:rPr>
        <w:t xml:space="preserve">Business Interpretation:  New York leads ($1,130,048). Ohio is the weakest ($884,768). All 6 states are contributing but opportunity exists to grow Ohio and Illinois.</w:t>
      </w:r>
    </w:p>
    <w:p w14:paraId="001001DC" w14:textId="001001DD">
      <w:pPr>
        <w:spacing w:after="60"/>
        <w:jc w:val="center"/>
      </w:pPr>
      <w:r>
        <w:rPr>
          <w:b/>
          <w:sz w:val="22"/>
        </w:rPr>
        <w:t xml:space="preserve">Figure 6: Profit by State</w:t>
      </w:r>
    </w:p>
    <w:p w14:paraId="001001DE" w14:textId="001001DF">
      <w:pPr>
        <w:spacing w:line="240" w:lineRule="auto"/>
      </w:pPr>
      <w:r>
        <w:drawing>
          <wp:inline distT="0" distB="0" distL="0" distR="0">
            <wp:extent cx="5040000" cy="2757735"/>
            <wp:effectExtent l="0" t="0" r="0" b="0"/>
            <wp:docPr id="6" name="profit_by_state.png" descr=""/>
            <wp:cNvGraphicFramePr>
              <a:graphicFrameLocks noChangeAspect="1"/>
            </wp:cNvGraphicFramePr>
            <a:graphic>
              <a:graphicData uri="http://schemas.openxmlformats.org/drawingml/2006/picture">
                <pic:pic>
                  <pic:nvPicPr>
                    <pic:cNvPr id="6" name="profit_by_state.png"/>
                    <pic:cNvPicPr/>
                  </pic:nvPicPr>
                  <pic:blipFill>
                    <a:blip r:embed="Rbf7f5f5426a142b7" cstate="print"/>
                    <a:stretch>
                      <a:fillRect/>
                    </a:stretch>
                  </pic:blipFill>
                  <pic:spPr>
                    <a:xfrm>
                      <a:off x="0" y="0"/>
                      <a:ext cx="5040000" cy="2757735"/>
                    </a:xfrm>
                    <a:prstGeom prst="rect">
                      <a:avLst/>
                    </a:prstGeom>
                  </pic:spPr>
                </pic:pic>
              </a:graphicData>
            </a:graphic>
          </wp:inline>
        </w:drawing>
      </w:r>
    </w:p>
    <w:p w14:paraId="001001E0" w14:textId="001001E1">
      <w:pPr>
        <w:spacing w:after="40"/>
      </w:pPr>
      <w:r>
        <w:rPr>
          <w:sz w:val="20"/>
        </w:rPr>
        <w:t xml:space="preserve">Technical:  Same structure as the sales-by-state chart, using the Profit column.</w:t>
      </w:r>
    </w:p>
    <w:p w14:paraId="001001E2" w14:textId="001001E3">
      <w:pPr>
        <w:spacing w:after="200"/>
      </w:pPr>
      <w:r>
        <w:rPr>
          <w:sz w:val="20"/>
        </w:rPr>
        <w:t xml:space="preserve">Business Interpretation:  Florida earns the most profit ($308,706) despite ranking second in sales, indicating better margins there vs New York.</w:t>
      </w:r>
    </w:p>
    <w:p w14:paraId="001001E4" w14:textId="001001E5">
      <w:pPr>
        <w:spacing w:after="60"/>
        <w:jc w:val="center"/>
      </w:pPr>
      <w:r>
        <w:rPr>
          <w:b/>
          <w:sz w:val="22"/>
        </w:rPr>
        <w:t xml:space="preserve">Figure 7: Sales vs Profit (Scatter Plot)</w:t>
      </w:r>
    </w:p>
    <w:p w14:paraId="001001E6" w14:textId="001001E7">
      <w:pPr>
        <w:spacing w:line="240" w:lineRule="auto"/>
      </w:pPr>
      <w:r>
        <w:drawing>
          <wp:inline distT="0" distB="0" distL="0" distR="0">
            <wp:extent cx="4680000" cy="3090566"/>
            <wp:effectExtent l="0" t="0" r="0" b="0"/>
            <wp:docPr id="7" name="sales_vs_profit.png" descr=""/>
            <wp:cNvGraphicFramePr>
              <a:graphicFrameLocks noChangeAspect="1"/>
            </wp:cNvGraphicFramePr>
            <a:graphic>
              <a:graphicData uri="http://schemas.openxmlformats.org/drawingml/2006/picture">
                <pic:pic>
                  <pic:nvPicPr>
                    <pic:cNvPr id="7" name="sales_vs_profit.png"/>
                    <pic:cNvPicPr/>
                  </pic:nvPicPr>
                  <pic:blipFill>
                    <a:blip r:embed="R9f26826f836a4aeb" cstate="print"/>
                    <a:stretch>
                      <a:fillRect/>
                    </a:stretch>
                  </pic:blipFill>
                  <pic:spPr>
                    <a:xfrm>
                      <a:off x="0" y="0"/>
                      <a:ext cx="4680000" cy="3090566"/>
                    </a:xfrm>
                    <a:prstGeom prst="rect">
                      <a:avLst/>
                    </a:prstGeom>
                  </pic:spPr>
                </pic:pic>
              </a:graphicData>
            </a:graphic>
          </wp:inline>
        </w:drawing>
      </w:r>
    </w:p>
    <w:p w14:paraId="001001E8" w14:textId="001001E9">
      <w:pPr>
        <w:spacing w:after="40"/>
      </w:pPr>
      <w:r>
        <w:rPr>
          <w:sz w:val="20"/>
        </w:rPr>
        <w:t xml:space="preserve">Technical:  Scatter plot using ax.scatter(). Each point = one transaction. Points are coloured by Category (CAT_PALETTE).</w:t>
      </w:r>
    </w:p>
    <w:p w14:paraId="001001EA" w14:textId="001001EB">
      <w:pPr>
        <w:spacing w:after="200"/>
      </w:pPr>
      <w:r>
        <w:rPr>
          <w:sz w:val="20"/>
        </w:rPr>
        <w:t xml:space="preserve">Business Interpretation:  Profit increases with sales, but not perfectly — high-sales transactions can have lower margins. Some low-value transactions still earn significant profit.</w:t>
      </w:r>
    </w:p>
    <w:p w14:paraId="001001EC" w14:textId="001001ED">
      <w:pPr>
        <w:spacing w:after="60"/>
        <w:jc w:val="center"/>
      </w:pPr>
      <w:r>
        <w:rPr>
          <w:b/>
          <w:sz w:val="22"/>
        </w:rPr>
        <w:t xml:space="preserve">Figure 8: Sales and Profit Distribution</w:t>
      </w:r>
    </w:p>
    <w:p w14:paraId="001001EE" w14:textId="001001EF">
      <w:pPr>
        <w:spacing w:line="240" w:lineRule="auto"/>
      </w:pPr>
      <w:r>
        <w:drawing>
          <wp:inline distT="0" distB="0" distL="0" distR="0">
            <wp:extent cx="5400000" cy="2157189"/>
            <wp:effectExtent l="0" t="0" r="0" b="0"/>
            <wp:docPr id="8" name="sales_profit_distribution.png" descr=""/>
            <wp:cNvGraphicFramePr>
              <a:graphicFrameLocks noChangeAspect="1"/>
            </wp:cNvGraphicFramePr>
            <a:graphic>
              <a:graphicData uri="http://schemas.openxmlformats.org/drawingml/2006/picture">
                <pic:pic>
                  <pic:nvPicPr>
                    <pic:cNvPr id="8" name="sales_profit_distribution.png"/>
                    <pic:cNvPicPr/>
                  </pic:nvPicPr>
                  <pic:blipFill>
                    <a:blip r:embed="R2d4a1d43bab34c66" cstate="print"/>
                    <a:stretch>
                      <a:fillRect/>
                    </a:stretch>
                  </pic:blipFill>
                  <pic:spPr>
                    <a:xfrm>
                      <a:off x="0" y="0"/>
                      <a:ext cx="5400000" cy="2157189"/>
                    </a:xfrm>
                    <a:prstGeom prst="rect">
                      <a:avLst/>
                    </a:prstGeom>
                  </pic:spPr>
                </pic:pic>
              </a:graphicData>
            </a:graphic>
          </wp:inline>
        </w:drawing>
      </w:r>
    </w:p>
    <w:p w14:paraId="001001F0" w14:textId="001001F1">
      <w:pPr>
        <w:spacing w:after="40"/>
      </w:pPr>
      <w:r>
        <w:rPr>
          <w:sz w:val="20"/>
        </w:rPr>
        <w:t xml:space="preserve">Technical:  Two histograms side-by-side (plt.subplots(1,2)). bins=30 shows how values are spread across the data range.</w:t>
      </w:r>
    </w:p>
    <w:p w14:paraId="001001F2" w14:textId="001001F3">
      <w:pPr>
        <w:spacing w:after="200"/>
      </w:pPr>
      <w:r>
        <w:rPr>
          <w:sz w:val="20"/>
        </w:rPr>
        <w:t xml:space="preserve">Business Interpretation:  Sales amounts are distributed broadly from $508 to $9,992 — few very low or very high outliers. Profit is similarly spread, confirming consistent margins across transactions.</w:t>
      </w:r>
    </w:p>
    <w:p w14:paraId="001001F4" w14:textId="001001F5">
      <w:pPr>
        <w:spacing w:after="60"/>
        <w:jc w:val="center"/>
      </w:pPr>
      <w:r>
        <w:rPr>
          <w:b/>
          <w:sz w:val="22"/>
        </w:rPr>
        <w:t xml:space="preserve">Figure 9: Category Sales Contribution (Donut Chart)</w:t>
      </w:r>
    </w:p>
    <w:p w14:paraId="001001F6" w14:textId="001001F7">
      <w:pPr>
        <w:spacing w:line="240" w:lineRule="auto"/>
      </w:pPr>
      <w:r>
        <w:drawing>
          <wp:inline distT="0" distB="0" distL="0" distR="0">
            <wp:extent cx="3960000" cy="3823448"/>
            <wp:effectExtent l="0" t="0" r="0" b="0"/>
            <wp:docPr id="9" name="category_sales_contribution.png" descr=""/>
            <wp:cNvGraphicFramePr>
              <a:graphicFrameLocks noChangeAspect="1"/>
            </wp:cNvGraphicFramePr>
            <a:graphic>
              <a:graphicData uri="http://schemas.openxmlformats.org/drawingml/2006/picture">
                <pic:pic>
                  <pic:nvPicPr>
                    <pic:cNvPr id="9" name="category_sales_contribution.png"/>
                    <pic:cNvPicPr/>
                  </pic:nvPicPr>
                  <pic:blipFill>
                    <a:blip r:embed="Rb1db9fafc6a44f78" cstate="print"/>
                    <a:stretch>
                      <a:fillRect/>
                    </a:stretch>
                  </pic:blipFill>
                  <pic:spPr>
                    <a:xfrm>
                      <a:off x="0" y="0"/>
                      <a:ext cx="3960000" cy="3823448"/>
                    </a:xfrm>
                    <a:prstGeom prst="rect">
                      <a:avLst/>
                    </a:prstGeom>
                  </pic:spPr>
                </pic:pic>
              </a:graphicData>
            </a:graphic>
          </wp:inline>
        </w:drawing>
      </w:r>
    </w:p>
    <w:p w14:paraId="001001F8" w14:textId="001001F9">
      <w:pPr>
        <w:spacing w:after="40"/>
      </w:pPr>
      <w:r>
        <w:rPr>
          <w:sz w:val="20"/>
        </w:rPr>
        <w:t xml:space="preserve">Technical:  Donut chart using ax.pie() with wedgeprops width=0.55. Percentage labels placed inside the wedges.</w:t>
      </w:r>
    </w:p>
    <w:p w14:paraId="001001FA" w14:textId="001001FB">
      <w:pPr>
        <w:spacing w:after="200"/>
      </w:pPr>
      <w:r>
        <w:rPr>
          <w:sz w:val="20"/>
        </w:rPr>
        <w:t xml:space="preserve">Business Interpretation:  Office Supplies 33.8%, Electronics 33.2%, Furniture 33.0%. Perfectly balanced revenue contribution — each category contributes approximately one-third of total sales.</w:t>
      </w:r>
    </w:p>
    <w:p w14:paraId="001001FC" w14:textId="001001FD">
      <w:pPr>
        <w:spacing w:after="60"/>
        <w:jc w:val="center"/>
      </w:pPr>
      <w:r>
        <w:rPr>
          <w:b/>
          <w:sz w:val="22"/>
        </w:rPr>
        <w:t xml:space="preserve">Figure 10: Quantity vs Sales</w:t>
      </w:r>
    </w:p>
    <w:p w14:paraId="001001FE" w14:textId="001001FF">
      <w:pPr>
        <w:spacing w:line="240" w:lineRule="auto"/>
      </w:pPr>
      <w:r>
        <w:drawing>
          <wp:inline distT="0" distB="0" distL="0" distR="0">
            <wp:extent cx="4680000" cy="2887659"/>
            <wp:effectExtent l="0" t="0" r="0" b="0"/>
            <wp:docPr id="10" name="quantity_vs_sales.png" descr=""/>
            <wp:cNvGraphicFramePr>
              <a:graphicFrameLocks noChangeAspect="1"/>
            </wp:cNvGraphicFramePr>
            <a:graphic>
              <a:graphicData uri="http://schemas.openxmlformats.org/drawingml/2006/picture">
                <pic:pic>
                  <pic:nvPicPr>
                    <pic:cNvPr id="10" name="quantity_vs_sales.png"/>
                    <pic:cNvPicPr/>
                  </pic:nvPicPr>
                  <pic:blipFill>
                    <a:blip r:embed="R5f41175daf6f4be5" cstate="print"/>
                    <a:stretch>
                      <a:fillRect/>
                    </a:stretch>
                  </pic:blipFill>
                  <pic:spPr>
                    <a:xfrm>
                      <a:off x="0" y="0"/>
                      <a:ext cx="4680000" cy="2887659"/>
                    </a:xfrm>
                    <a:prstGeom prst="rect">
                      <a:avLst/>
                    </a:prstGeom>
                  </pic:spPr>
                </pic:pic>
              </a:graphicData>
            </a:graphic>
          </wp:inline>
        </w:drawing>
      </w:r>
    </w:p>
    <w:p w14:paraId="00100200" w14:textId="00100201">
      <w:pPr>
        <w:spacing w:after="40"/>
      </w:pPr>
      <w:r>
        <w:rPr>
          <w:sz w:val="20"/>
        </w:rPr>
        <w:t xml:space="preserve">Technical:  Scatter plot using quantity on X-axis and sales amount on Y-axis. Points coloured by category.</w:t>
      </w:r>
    </w:p>
    <w:p w14:paraId="00100202" w14:textId="00100203">
      <w:pPr>
        <w:spacing w:after="200"/>
      </w:pPr>
      <w:r>
        <w:rPr>
          <w:sz w:val="20"/>
        </w:rPr>
        <w:t xml:space="preserve">Business Interpretation:  High quantity does not guarantee high sales value — some small-quantity orders generate high revenue (premium products). This confirms that unit price varies significantly across sub-categories.</w:t>
      </w:r>
    </w:p>
    <w:p w14:paraId="00100204" w14:textId="00100205">
      <w:pPr>
        <w:spacing w:after="60"/>
        <w:jc w:val="center"/>
      </w:pPr>
      <w:r>
        <w:rPr>
          <w:b/>
          <w:sz w:val="22"/>
        </w:rPr>
        <w:t xml:space="preserve">Figure 11: Sales by Payment Mode</w:t>
      </w:r>
    </w:p>
    <w:p w14:paraId="00100206" w14:textId="00100207">
      <w:pPr>
        <w:spacing w:line="240" w:lineRule="auto"/>
      </w:pPr>
      <w:r>
        <w:drawing>
          <wp:inline distT="0" distB="0" distL="0" distR="0">
            <wp:extent cx="4680000" cy="2560754"/>
            <wp:effectExtent l="0" t="0" r="0" b="0"/>
            <wp:docPr id="11" name="sales_by_payment_mode.png" descr=""/>
            <wp:cNvGraphicFramePr>
              <a:graphicFrameLocks noChangeAspect="1"/>
            </wp:cNvGraphicFramePr>
            <a:graphic>
              <a:graphicData uri="http://schemas.openxmlformats.org/drawingml/2006/picture">
                <pic:pic>
                  <pic:nvPicPr>
                    <pic:cNvPr id="11" name="sales_by_payment_mode.png"/>
                    <pic:cNvPicPr/>
                  </pic:nvPicPr>
                  <pic:blipFill>
                    <a:blip r:embed="R20d8139ef875430a" cstate="print"/>
                    <a:stretch>
                      <a:fillRect/>
                    </a:stretch>
                  </pic:blipFill>
                  <pic:spPr>
                    <a:xfrm>
                      <a:off x="0" y="0"/>
                      <a:ext cx="4680000" cy="2560754"/>
                    </a:xfrm>
                    <a:prstGeom prst="rect">
                      <a:avLst/>
                    </a:prstGeom>
                  </pic:spPr>
                </pic:pic>
              </a:graphicData>
            </a:graphic>
          </wp:inline>
        </w:drawing>
      </w:r>
    </w:p>
    <w:p w14:paraId="00100208" w14:textId="00100209">
      <w:pPr>
        <w:spacing w:after="40"/>
      </w:pPr>
      <w:r>
        <w:rPr>
          <w:sz w:val="20"/>
        </w:rPr>
        <w:t xml:space="preserve">Technical:  Bar chart with pastel colour palette. Value labels formatted with dollar signs.</w:t>
      </w:r>
    </w:p>
    <w:p w14:paraId="0010020A" w14:textId="0010020B">
      <w:pPr>
        <w:spacing w:after="200"/>
      </w:pPr>
      <w:r>
        <w:rPr>
          <w:sz w:val="20"/>
        </w:rPr>
        <w:t xml:space="preserve">Business Interpretation:  Debit Card leads ($1,395,035), followed by Credit Card ($1,281,044) and UPI ($1,250,473). Digital payments dominate. COD ($1,141,790) and EMI ($1,114,297) trail but remain significant.</w:t>
      </w:r>
    </w:p>
    <w:p w14:paraId="0010020C" w14:textId="0010020D">
      <w:pPr>
        <w:spacing w:after="60"/>
        <w:jc w:val="center"/>
      </w:pPr>
      <w:r>
        <w:rPr>
          <w:b/>
          <w:sz w:val="22"/>
        </w:rPr>
        <w:t xml:space="preserve">Figure 12: Yearly Sales and Profit</w:t>
      </w:r>
    </w:p>
    <w:p w14:paraId="0010020E" w14:textId="0010020F">
      <w:pPr>
        <w:spacing w:line="240" w:lineRule="auto"/>
      </w:pPr>
      <w:r>
        <w:drawing>
          <wp:inline distT="0" distB="0" distL="0" distR="0">
            <wp:extent cx="5040000" cy="2757735"/>
            <wp:effectExtent l="0" t="0" r="0" b="0"/>
            <wp:docPr id="12" name="yearly_sales_profit.png" descr=""/>
            <wp:cNvGraphicFramePr>
              <a:graphicFrameLocks noChangeAspect="1"/>
            </wp:cNvGraphicFramePr>
            <a:graphic>
              <a:graphicData uri="http://schemas.openxmlformats.org/drawingml/2006/picture">
                <pic:pic>
                  <pic:nvPicPr>
                    <pic:cNvPr id="12" name="yearly_sales_profit.png"/>
                    <pic:cNvPicPr/>
                  </pic:nvPicPr>
                  <pic:blipFill>
                    <a:blip r:embed="R79872b170e3242da" cstate="print"/>
                    <a:stretch>
                      <a:fillRect/>
                    </a:stretch>
                  </pic:blipFill>
                  <pic:spPr>
                    <a:xfrm>
                      <a:off x="0" y="0"/>
                      <a:ext cx="5040000" cy="2757735"/>
                    </a:xfrm>
                    <a:prstGeom prst="rect">
                      <a:avLst/>
                    </a:prstGeom>
                  </pic:spPr>
                </pic:pic>
              </a:graphicData>
            </a:graphic>
          </wp:inline>
        </w:drawing>
      </w:r>
    </w:p>
    <w:p w14:paraId="00100210" w14:textId="00100211">
      <w:pPr>
        <w:spacing w:after="40"/>
      </w:pPr>
      <w:r>
        <w:rPr>
          <w:sz w:val="20"/>
        </w:rPr>
        <w:t xml:space="preserve">Technical:  Grouped bar chart with two bars per year — sales (blue) and profit (purple) side-by-side with value labels.</w:t>
      </w:r>
    </w:p>
    <w:p w14:paraId="00100212" w14:textId="00100213">
      <w:pPr>
        <w:spacing w:after="200"/>
      </w:pPr>
      <w:r>
        <w:rPr>
          <w:sz w:val="20"/>
        </w:rPr>
        <w:t xml:space="preserve">Business Interpretation:  2022 was the strongest year ($1,459,775 sales / $393,113 profit). Sales have moderated slightly in 2023–2024 but remain above 2021 levels. 2025 data is partial (Jan–Mar only).</w:t>
      </w:r>
    </w:p>
    <w:p w14:paraId="00100214" w14:textId="00100215">
      <w:pPr>
        <w:pStyle w:val="Heading1"/>
        <w:spacing w:after="100"/>
      </w:pPr>
      <w:r>
        <w:rPr>
          <w:b/>
          <w:color w:val="1F3864"/>
          <w:sz w:val="30"/>
        </w:rPr>
        <w:t xml:space="preserve">14. DASHBOARD-STYLE ANALYSIS</w:t>
      </w:r>
    </w:p>
    <w:p w14:paraId="00100216" w14:textId="00100217">
      <w:pPr>
        <w:spacing w:after="80"/>
      </w:pPr>
      <w:r>
        <w:rPr>
          <w:sz w:val="22"/>
        </w:rPr>
        <w:t xml:space="preserve">The Python script generates a single-page dashboard image (sales_dashboard.png) using matplotlib GridSpec. This is a pure Python implementation — no Power BI or Tableau was used.</w:t>
      </w:r>
    </w:p>
    <w:p w14:paraId="00100218" w14:textId="00100219">
      <w:pPr>
        <w:spacing w:after="120"/>
      </w:pPr>
      <w:r>
        <w:rPr>
          <w:sz w:val="22"/>
        </w:rPr>
        <w:t xml:space="preserve">The dashboard contains: 8 colour-coded KPI cards (Total Sales, Total Profit, Orders, Quantity, Customers, Profit Margin, Avg Order Value, Avg Profit), a monthly trend chart, sales-by-category bar chart, sales-by-state bar chart, profit margin by category, top sub-categories, and sales by payment mode.</w:t>
      </w:r>
    </w:p>
    <w:p w14:paraId="0010021A" w14:textId="0010021B">
      <w:pPr>
        <w:spacing w:after="60"/>
        <w:jc w:val="center"/>
      </w:pPr>
      <w:r>
        <w:rPr>
          <w:b/>
          <w:sz w:val="22"/>
        </w:rPr>
        <w:t xml:space="preserve">Figure 13: Sales Analytics Dashboard (Python-Generated)</w:t>
      </w:r>
    </w:p>
    <w:p w14:paraId="0010021C" w14:textId="0010021D">
      <w:pPr>
        <w:spacing w:line="240" w:lineRule="auto"/>
      </w:pPr>
      <w:r>
        <w:drawing>
          <wp:inline distT="0" distB="0" distL="0" distR="0">
            <wp:extent cx="5760000" cy="6121646"/>
            <wp:effectExtent l="0" t="0" r="0" b="0"/>
            <wp:docPr id="13" name="sales_dashboard.png" descr=""/>
            <wp:cNvGraphicFramePr>
              <a:graphicFrameLocks noChangeAspect="1"/>
            </wp:cNvGraphicFramePr>
            <a:graphic>
              <a:graphicData uri="http://schemas.openxmlformats.org/drawingml/2006/picture">
                <pic:pic>
                  <pic:nvPicPr>
                    <pic:cNvPr id="13" name="sales_dashboard.png"/>
                    <pic:cNvPicPr/>
                  </pic:nvPicPr>
                  <pic:blipFill>
                    <a:blip r:embed="Ra8115f7008404043" cstate="print"/>
                    <a:stretch>
                      <a:fillRect/>
                    </a:stretch>
                  </pic:blipFill>
                  <pic:spPr>
                    <a:xfrm>
                      <a:off x="0" y="0"/>
                      <a:ext cx="5760000" cy="6121646"/>
                    </a:xfrm>
                    <a:prstGeom prst="rect">
                      <a:avLst/>
                    </a:prstGeom>
                  </pic:spPr>
                </pic:pic>
              </a:graphicData>
            </a:graphic>
          </wp:inline>
        </w:drawing>
      </w:r>
    </w:p>
    <w:p w14:paraId="0010021E" w14:textId="0010021F">
      <w:pPr>
        <w:spacing w:after="40"/>
      </w:pPr>
      <w:r>
        <w:rPr>
          <w:sz w:val="20"/>
        </w:rPr>
        <w:t xml:space="preserve">Technical:  Built using plt.figure() + gridspec.GridSpec(nrows=5, ncols=4). KPI cards use ax.set_facecolor() for colour; chart panels use plot(), barh(), and bar(). Saved as a 20×22 inch PNG.</w:t>
      </w:r>
    </w:p>
    <w:p w14:paraId="00100220" w14:textId="00100221">
      <w:pPr>
        <w:spacing w:after="200"/>
      </w:pPr>
      <w:r>
        <w:rPr>
          <w:sz w:val="20"/>
        </w:rPr>
        <w:t xml:space="preserve">Business Interpretation:  The dashboard provides a single-screen overview of all key metrics. Total sales of $6.18M with 26.05% margin across 547 orders from 802 customers in 6 states is immediately visible to any business stakeholder.</w:t>
      </w:r>
    </w:p>
    <w:p w14:paraId="00100222" w14:textId="00100223">
      <w:pPr>
        <w:pStyle w:val="Heading1"/>
        <w:spacing w:after="100"/>
      </w:pPr>
      <w:r>
        <w:rPr>
          <w:b/>
          <w:color w:val="1F3864"/>
          <w:sz w:val="30"/>
        </w:rPr>
        <w:t xml:space="preserve">15. KEY FINDINGS</w:t>
      </w:r>
    </w:p>
    <w:p w14:paraId="00100224" w14:textId="00100225">
      <w:pPr>
        <w:spacing w:after="60"/>
      </w:pPr>
      <w:r>
        <w:rPr>
          <w:sz w:val="22"/>
        </w:rPr>
        <w:t xml:space="preserve">1.  All three product categories contribute nearly equal revenue (33% each), confirming a well-diversified product mix.</w:t>
      </w:r>
    </w:p>
    <w:p w14:paraId="00100226" w14:textId="00100227">
      <w:pPr>
        <w:spacing w:after="60"/>
      </w:pPr>
      <w:r>
        <w:rPr>
          <w:sz w:val="22"/>
        </w:rPr>
        <w:t xml:space="preserve">2.  Furniture achieves the highest profit margin (26.5%) despite ranking third in total sales — indicating superior product margins.</w:t>
      </w:r>
    </w:p>
    <w:p w14:paraId="00100228" w14:textId="00100229">
      <w:pPr>
        <w:spacing w:after="60"/>
      </w:pPr>
      <w:r>
        <w:rPr>
          <w:sz w:val="22"/>
        </w:rPr>
        <w:t xml:space="preserve">3.  Markers ($627,875) is the top-performing sub-category; Binders ($384,611) is the weakest — a $243K revenue gap.</w:t>
      </w:r>
    </w:p>
    <w:p w14:paraId="0010022A" w14:textId="0010022B">
      <w:pPr>
        <w:spacing w:after="60"/>
      </w:pPr>
      <w:r>
        <w:rPr>
          <w:sz w:val="22"/>
        </w:rPr>
        <w:t xml:space="preserve">4.  New York generates the highest total sales ($1,130,048); Florida earns the most profit ($308,706).</w:t>
      </w:r>
    </w:p>
    <w:p w14:paraId="0010022C" w14:textId="0010022D">
      <w:pPr>
        <w:spacing w:after="60"/>
      </w:pPr>
      <w:r>
        <w:rPr>
          <w:sz w:val="22"/>
        </w:rPr>
        <w:t xml:space="preserve">5.  Ohio is the weakest state with $884,768 in sales — $245K below the leader.</w:t>
      </w:r>
    </w:p>
    <w:p w14:paraId="0010022E" w14:textId="0010022F">
      <w:pPr>
        <w:spacing w:after="60"/>
      </w:pPr>
      <w:r>
        <w:rPr>
          <w:sz w:val="22"/>
        </w:rPr>
        <w:t xml:space="preserve">6.  2022 was the strongest year ($1,459,775). December 2022 was the single peak month ($204,413).</w:t>
      </w:r>
    </w:p>
    <w:p w14:paraId="00100230" w14:textId="00100231">
      <w:pPr>
        <w:spacing w:after="60"/>
      </w:pPr>
      <w:r>
        <w:rPr>
          <w:sz w:val="22"/>
        </w:rPr>
        <w:t xml:space="preserve">7.  Debit Card is the most-used payment method ($1,395,035); digital payments collectively cover ~78% of sales.</w:t>
      </w:r>
    </w:p>
    <w:p w14:paraId="00100232" w14:textId="00100233">
      <w:pPr>
        <w:spacing w:after="60"/>
      </w:pPr>
      <w:r>
        <w:rPr>
          <w:sz w:val="22"/>
        </w:rPr>
        <w:t xml:space="preserve">8.  Overall profit margin of 26.05% is consistent across all 1,194 transactions — minimum profit per transaction is $50.</w:t>
      </w:r>
    </w:p>
    <w:p w14:paraId="00100234" w14:textId="00100235">
      <w:pPr>
        <w:spacing w:after="60"/>
      </w:pPr>
      <w:r>
        <w:rPr>
          <w:sz w:val="22"/>
        </w:rPr>
        <w:t xml:space="preserve">9.  Top customer: Cory Evans ($28,557). Average order value: $11,303. 802 unique customers from 547 orders.</w:t>
      </w:r>
    </w:p>
    <w:p w14:paraId="00100236" w14:textId="00100237">
      <w:pPr>
        <w:spacing w:after="160"/>
      </w:pPr>
      <w:r>
        <w:rPr>
          <w:sz w:val="22"/>
        </w:rPr>
        <w:t xml:space="preserve">10. High quantity does not always correlate with high revenue — unit price varies significantly across sub-categories.</w:t>
      </w:r>
    </w:p>
    <w:p w14:paraId="00100238" w14:textId="00100239">
      <w:pPr>
        <w:pStyle w:val="Heading1"/>
        <w:spacing w:after="100"/>
      </w:pPr>
      <w:r>
        <w:rPr>
          <w:b/>
          <w:color w:val="1F3864"/>
          <w:sz w:val="30"/>
        </w:rPr>
        <w:t xml:space="preserve">16. BUSINESS INSIGHTS</w:t>
      </w:r>
    </w:p>
    <w:p w14:paraId="0010023A" w14:textId="0010023B">
      <w:pPr>
        <w:spacing w:after="80"/>
      </w:pPr>
      <w:r>
        <w:rPr>
          <w:sz w:val="22"/>
        </w:rPr>
        <w:t xml:space="preserve">Insight 1 — Category Balance is a Strength:  With each category contributing ~33% of revenue, the business is protected against over-reliance on one product line. However, Furniture's superior margin (26.5%) makes it the most profitable category per dollar of sales.</w:t>
      </w:r>
    </w:p>
    <w:p w14:paraId="0010023C" w14:textId="0010023D">
      <w:pPr>
        <w:spacing w:after="80"/>
      </w:pPr>
      <w:r>
        <w:rPr>
          <w:sz w:val="22"/>
        </w:rPr>
        <w:t xml:space="preserve">Insight 2 — Expand Furniture:  Furniture ranks third in sales but first in margin. Allocating more marketing and inventory resources to Furniture would disproportionately improve overall profitability.</w:t>
      </w:r>
    </w:p>
    <w:p w14:paraId="0010023E" w14:textId="0010023F">
      <w:pPr>
        <w:spacing w:after="80"/>
      </w:pPr>
      <w:r>
        <w:rPr>
          <w:sz w:val="22"/>
        </w:rPr>
        <w:t xml:space="preserve">Insight 3 — Markers and Tables Drive Sub-Category Revenue:  These two sub-categories together exceed $1.25M in sales. Protecting their inventory and pricing is critical.</w:t>
      </w:r>
    </w:p>
    <w:p w14:paraId="00100240" w14:textId="00100241">
      <w:pPr>
        <w:spacing w:after="80"/>
      </w:pPr>
      <w:r>
        <w:rPr>
          <w:sz w:val="22"/>
        </w:rPr>
        <w:t xml:space="preserve">Insight 4 — Binders Under-Performs Within Office Supplies:  Despite Office Supplies being the top category, Binders is the weakest individual sub-category — bundling or promotional pricing could close this gap.</w:t>
      </w:r>
    </w:p>
    <w:p w14:paraId="00100242" w14:textId="00100243">
      <w:pPr>
        <w:spacing w:after="80"/>
      </w:pPr>
      <w:r>
        <w:rPr>
          <w:sz w:val="22"/>
        </w:rPr>
        <w:t xml:space="preserve">Insight 5 — New York and Florida are Core Markets:  Combined they contribute $2.22M+ in sales and $617K+ in profit — over 35% of total revenue. Protecting these markets is essential.</w:t>
      </w:r>
    </w:p>
    <w:p w14:paraId="00100244" w14:textId="00100245">
      <w:pPr>
        <w:spacing w:after="80"/>
      </w:pPr>
      <w:r>
        <w:rPr>
          <w:sz w:val="22"/>
        </w:rPr>
        <w:t xml:space="preserve">Insight 6 — Ohio Needs Attention:  The weakest state at $884,768, representing a $245K gap vs New York. Investigating competitor presence or pricing barriers in Ohio could unlock growth.</w:t>
      </w:r>
    </w:p>
    <w:p w14:paraId="00100246" w14:textId="00100247">
      <w:pPr>
        <w:spacing w:after="80"/>
      </w:pPr>
      <w:r>
        <w:rPr>
          <w:sz w:val="22"/>
        </w:rPr>
        <w:t xml:space="preserve">Insight 7 — Year-End Demand is Real:  December 2022 ($204,413) was the clear peak month. Inventory planning and promotions ahead of November–December can maximise this demand.</w:t>
      </w:r>
    </w:p>
    <w:p w14:paraId="00100248" w14:textId="00100249">
      <w:pPr>
        <w:spacing w:after="160"/>
      </w:pPr>
      <w:r>
        <w:rPr>
          <w:sz w:val="22"/>
        </w:rPr>
        <w:t xml:space="preserve">Insight 8 — Digital Payments Dominate:  Debit Card, Credit Card, and UPI collectively account for 64% of sales. Mode-specific cashback or loyalty offers can further shift behaviour and increase basket size.</w:t>
      </w:r>
    </w:p>
    <w:p w14:paraId="0010024A" w14:textId="0010024B">
      <w:pPr>
        <w:pStyle w:val="Heading1"/>
        <w:spacing w:after="100"/>
      </w:pPr>
      <w:r>
        <w:rPr>
          <w:b/>
          <w:color w:val="1F3864"/>
          <w:sz w:val="30"/>
        </w:rPr>
        <w:t xml:space="preserve">17. BUSINESS RECOMMENDATIONS</w:t>
      </w:r>
    </w:p>
    <w:p w14:paraId="0010024C" w14:textId="0010024D">
      <w:pPr>
        <w:spacing w:after="80"/>
      </w:pPr>
      <w:r>
        <w:rPr>
          <w:sz w:val="22"/>
        </w:rPr>
        <w:t xml:space="preserve">R1 — Expand Furniture Range:  Furniture has the highest margin (26.5%). Increase product variety, stock levels, and marketing spend on Furniture to grow its revenue share and lift overall profit margin.</w:t>
      </w:r>
    </w:p>
    <w:p w14:paraId="0010024E" w14:textId="0010024F">
      <w:pPr>
        <w:spacing w:after="80"/>
      </w:pPr>
      <w:r>
        <w:rPr>
          <w:sz w:val="22"/>
        </w:rPr>
        <w:t xml:space="preserve">R2 — Bundle or Promote Binders:  Create bundle offers pairing Binders with best-selling Markers and Pens. A 10–15% discount campaign targeting existing Office Supplies customers could recover the performance gap.</w:t>
      </w:r>
    </w:p>
    <w:p w14:paraId="00100250" w14:textId="00100251">
      <w:pPr>
        <w:spacing w:after="80"/>
      </w:pPr>
      <w:r>
        <w:rPr>
          <w:sz w:val="22"/>
        </w:rPr>
        <w:t xml:space="preserve">R3 — Protect New York and Florida:  These two markets contribute 35%+ of all revenue. Maintain dedicated sales teams, regional promotions, and customer loyalty programmes in both states.</w:t>
      </w:r>
    </w:p>
    <w:p w14:paraId="00100252" w14:textId="00100253">
      <w:pPr>
        <w:spacing w:after="80"/>
      </w:pPr>
      <w:r>
        <w:rPr>
          <w:sz w:val="22"/>
        </w:rPr>
        <w:t xml:space="preserve">R4 — Grow Ohio:  The weakest state. Commission a market analysis to identify pricing gaps, competitor positioning, or distribution issues. Deploy state-specific discounts or regional partnerships.</w:t>
      </w:r>
    </w:p>
    <w:p w14:paraId="00100254" w14:textId="00100255">
      <w:pPr>
        <w:spacing w:after="80"/>
      </w:pPr>
      <w:r>
        <w:rPr>
          <w:sz w:val="22"/>
        </w:rPr>
        <w:t xml:space="preserve">R5 — Plan for Year-End Peaks:  December 2022 proved strong seasonal demand exists. Begin inventory build-up in October. Launch festive promotions in November to capture the full demand window.</w:t>
      </w:r>
    </w:p>
    <w:p w14:paraId="00100256" w14:textId="00100257">
      <w:pPr>
        <w:spacing w:after="80"/>
      </w:pPr>
      <w:r>
        <w:rPr>
          <w:sz w:val="22"/>
        </w:rPr>
        <w:t xml:space="preserve">R6 — Investigate the 2023–2024 Moderation:  Sales declined from the 2022 peak. Root-cause analysis (product mix, pricing, churn) should determine whether this is structural or recoverable.</w:t>
      </w:r>
    </w:p>
    <w:p w14:paraId="00100258" w14:textId="00100259">
      <w:pPr>
        <w:spacing w:after="80"/>
      </w:pPr>
      <w:r>
        <w:rPr>
          <w:sz w:val="22"/>
        </w:rPr>
        <w:t xml:space="preserve">R7 — Leverage Digital Payment Incentives:  With 78% of sales on digital modes, a UPI/Credit Card cashback programme can increase average order value and encourage higher-frequency purchasing.</w:t>
      </w:r>
    </w:p>
    <w:p w14:paraId="0010025A" w14:textId="0010025B">
      <w:pPr>
        <w:spacing w:after="160"/>
      </w:pPr>
      <w:r>
        <w:rPr>
          <w:sz w:val="22"/>
        </w:rPr>
        <w:t xml:space="preserve">R8 — Protect Top Sub-Categories:  Markers and Tables are the highest-revenue sub-categories. Ensure consistent stock availability, competitive pricing, and prominent placement in marketing materials.</w:t>
      </w:r>
    </w:p>
    <w:p w14:paraId="0010025C" w14:textId="0010025D">
      <w:pPr>
        <w:pStyle w:val="Heading1"/>
        <w:spacing w:after="100"/>
      </w:pPr>
      <w:r>
        <w:rPr>
          <w:b/>
          <w:color w:val="1F3864"/>
          <w:sz w:val="30"/>
        </w:rPr>
        <w:t xml:space="preserve">18. CONCLUSION</w:t>
      </w:r>
    </w:p>
    <w:p w14:paraId="0010025E" w14:textId="0010025F">
      <w:pPr>
        <w:spacing w:after="80"/>
      </w:pPr>
      <w:r>
        <w:rPr>
          <w:sz w:val="22"/>
        </w:rPr>
        <w:t xml:space="preserve">This project successfully applied a complete Python data analytics pipeline to a real retail sales dataset of 1,194 transactions spanning March 2020 to March 2025. Using only Python, pandas, matplotlib, and seaborn, the project:</w:t>
      </w:r>
    </w:p>
    <w:p w14:paraId="00100260" w14:textId="00100261">
      <w:pPr>
        <w:spacing w:after="40"/>
      </w:pPr>
      <w:r>
        <w:rPr>
          <w:sz w:val="22"/>
        </w:rPr>
        <w:t xml:space="preserve">  •  Loaded and validated a clean 12-column dataset with zero missing values and zero duplicates.</w:t>
      </w:r>
    </w:p>
    <w:p w14:paraId="00100262" w14:textId="00100263">
      <w:pPr>
        <w:spacing w:after="40"/>
      </w:pPr>
      <w:r>
        <w:rPr>
          <w:sz w:val="22"/>
        </w:rPr>
        <w:t xml:space="preserve">  •  Cleaned and enriched the data with five derived time-based columns for trend analysis.</w:t>
      </w:r>
    </w:p>
    <w:p w14:paraId="00100264" w14:textId="00100265">
      <w:pPr>
        <w:spacing w:after="40"/>
      </w:pPr>
      <w:r>
        <w:rPr>
          <w:sz w:val="22"/>
        </w:rPr>
        <w:t xml:space="preserve">  •  Calculated nine KPIs including $6.18M in sales, $1.61M in profit, and a 26.05% margin.</w:t>
      </w:r>
    </w:p>
    <w:p w14:paraId="00100266" w14:textId="00100267">
      <w:pPr>
        <w:spacing w:after="40"/>
      </w:pPr>
      <w:r>
        <w:rPr>
          <w:sz w:val="22"/>
        </w:rPr>
        <w:t xml:space="preserve">  •  Performed ten EDA aggregations across category, sub-category, state, payment mode, year, and customer.</w:t>
      </w:r>
    </w:p>
    <w:p w14:paraId="00100268" w14:textId="00100269">
      <w:pPr>
        <w:spacing w:after="40"/>
      </w:pPr>
      <w:r>
        <w:rPr>
          <w:sz w:val="22"/>
        </w:rPr>
        <w:t xml:space="preserve">  •  Generated 12 professional charts and one full-page dashboard-style image.</w:t>
      </w:r>
    </w:p>
    <w:p w14:paraId="0010026A" w14:textId="0010026B">
      <w:pPr>
        <w:spacing w:after="100"/>
      </w:pPr>
      <w:r>
        <w:rPr>
          <w:sz w:val="22"/>
        </w:rPr>
        <w:t xml:space="preserve">  •  Derived 10 data-driven insights and 8 actionable business recommendations.</w:t>
      </w:r>
    </w:p>
    <w:p w14:paraId="0010026C" w14:textId="0010026D">
      <w:pPr>
        <w:spacing w:after="160"/>
      </w:pPr>
      <w:r>
        <w:rPr>
          <w:sz w:val="22"/>
        </w:rPr>
        <w:t xml:space="preserve">The project demonstrates that Python alone is sufficient for professional-grade retail analytics. The reproducible pipeline can be updated with new data simply by changing the DATA_PATH variable.</w:t>
      </w:r>
    </w:p>
    <w:p w14:paraId="0010026E" w14:textId="0010026F">
      <w:pPr>
        <w:pStyle w:val="Heading1"/>
        <w:spacing w:after="100"/>
      </w:pPr>
      <w:r>
        <w:rPr>
          <w:b/>
          <w:color w:val="1F3864"/>
          <w:sz w:val="30"/>
        </w:rPr>
        <w:t xml:space="preserve">19. FUTURE SCOPE</w:t>
      </w:r>
    </w:p>
    <w:p w14:paraId="00100270" w14:textId="00100271">
      <w:pPr>
        <w:spacing w:after="80"/>
      </w:pPr>
      <w:r>
        <w:rPr>
          <w:sz w:val="22"/>
        </w:rPr>
        <w:t xml:space="preserve">The following enhancements are proposed as future work. None are part of the current implementation.</w:t>
      </w:r>
    </w:p>
    <w:p w14:paraId="00100272" w14:textId="00100273">
      <w:pPr>
        <w:spacing w:after="60"/>
      </w:pPr>
      <w:r>
        <w:rPr>
          <w:sz w:val="22"/>
        </w:rPr>
        <w:t xml:space="preserve">1.  Interactive Dashboard:  Migrate charts to a Streamlit or Plotly Dash web application for real-time filtering by date, category, and state.</w:t>
      </w:r>
    </w:p>
    <w:p w14:paraId="00100274" w14:textId="00100275">
      <w:pPr>
        <w:spacing w:after="60"/>
      </w:pPr>
      <w:r>
        <w:rPr>
          <w:sz w:val="22"/>
        </w:rPr>
        <w:t xml:space="preserve">2.  Power BI / Tableau Dashboard:  Export the cleaned dataset to Power BI or Tableau for enterprise-grade drill-through dashboards.</w:t>
      </w:r>
    </w:p>
    <w:p w14:paraId="00100276" w14:textId="00100277">
      <w:pPr>
        <w:spacing w:after="60"/>
      </w:pPr>
      <w:r>
        <w:rPr>
          <w:sz w:val="22"/>
        </w:rPr>
        <w:t xml:space="preserve">3.  Sales Forecasting:  Apply ARIMA, Prophet, or LSTM models to forecast future monthly sales based on historical trend.</w:t>
      </w:r>
    </w:p>
    <w:p w14:paraId="00100278" w14:textId="00100279">
      <w:pPr>
        <w:spacing w:after="60"/>
      </w:pPr>
      <w:r>
        <w:rPr>
          <w:sz w:val="22"/>
        </w:rPr>
        <w:t xml:space="preserve">4.  Customer Segmentation:  Use K-Means clustering or RFM (Recency, Frequency, Monetary) analysis on the 802 customers to identify high-value vs at-risk segments.</w:t>
      </w:r>
    </w:p>
    <w:p w14:paraId="0010027A" w14:textId="0010027B">
      <w:pPr>
        <w:spacing w:after="60"/>
      </w:pPr>
      <w:r>
        <w:rPr>
          <w:sz w:val="22"/>
        </w:rPr>
        <w:t xml:space="preserve">5.  Automated PDF Reporting:  Schedule the Python script to auto-generate and email a PDF report of KPIs and charts at regular intervals.</w:t>
      </w:r>
    </w:p>
    <w:p w14:paraId="0010027C" w14:textId="0010027D">
      <w:pPr>
        <w:spacing w:after="160"/>
      </w:pPr>
      <w:r>
        <w:rPr>
          <w:sz w:val="22"/>
        </w:rPr>
        <w:t xml:space="preserve">6.  Database Integration:  Replace the CSV data source with a direct SQL or cloud data warehouse connection for live-data analytics.</w:t>
      </w:r>
    </w:p>
    <w:p w14:paraId="0010027E" w14:textId="0010027F">
      <w:pPr>
        <w:pStyle w:val="Heading1"/>
        <w:spacing w:after="100"/>
      </w:pPr>
      <w:r>
        <w:rPr>
          <w:b/>
          <w:color w:val="1F3864"/>
          <w:sz w:val="30"/>
        </w:rPr>
        <w:t xml:space="preserve">20. REFERENCES</w:t>
      </w:r>
    </w:p>
    <w:p w14:paraId="00100280" w14:textId="00100281">
      <w:pPr>
        <w:spacing w:after="60"/>
      </w:pPr>
      <w:r>
        <w:rPr>
          <w:sz w:val="22"/>
        </w:rPr>
        <w:t xml:space="preserve">[1]  pandas Development Team. pandas — Python Data Analysis Library. https://pandas.pydata.org/docs/ (2025).</w:t>
      </w:r>
    </w:p>
    <w:p w14:paraId="00100282" w14:textId="00100283">
      <w:pPr>
        <w:spacing w:after="60"/>
      </w:pPr>
      <w:r>
        <w:rPr>
          <w:sz w:val="22"/>
        </w:rPr>
        <w:t xml:space="preserve">[2]  Hunter, J.D. (2007). Matplotlib: A 2D Graphics Environment. Computing in Science &amp; Engineering, 9(3), 90–95. https://matplotlib.org/</w:t>
      </w:r>
    </w:p>
    <w:p w14:paraId="00100284" w14:textId="00100285">
      <w:pPr>
        <w:spacing w:after="60"/>
      </w:pPr>
      <w:r>
        <w:rPr>
          <w:sz w:val="22"/>
        </w:rPr>
        <w:t xml:space="preserve">[3]  Waskom, M. (2021). seaborn: Statistical Data Visualization. Journal of Open Source Software, 6(60), 3021. https://seaborn.pydata.org/</w:t>
      </w:r>
    </w:p>
    <w:p w14:paraId="00100286" w14:textId="00100287">
      <w:pPr>
        <w:spacing w:after="60"/>
      </w:pPr>
      <w:r>
        <w:rPr>
          <w:sz w:val="22"/>
        </w:rPr>
        <w:t xml:space="preserve">[4]  Python Software Foundation. Python Language Reference, Version 3.x. https://docs.python.org/3/</w:t>
      </w:r>
    </w:p>
    <w:p w14:paraId="00100288" w14:textId="00100289">
      <w:pPr>
        <w:spacing w:after="60"/>
      </w:pPr>
      <w:r>
        <w:rPr>
          <w:sz w:val="22"/>
        </w:rPr>
        <w:t xml:space="preserve">[5]  McKinney, W. (2010). Data Structures for Statistical Computing in Python. Proceedings of the 9th Python in Science Conference, 56–61.</w:t>
      </w:r>
    </w:p>
    <w:p w14:paraId="0010028A" w14:textId="0010028B">
      <w:pPr>
        <w:spacing w:after="320"/>
      </w:pPr>
      <w:r>
        <w:rPr>
          <w:sz w:val="22"/>
        </w:rPr>
        <w:t xml:space="preserve">[6]  Dataset: Sales Dataset.csv — primary data source for this project.</w:t>
      </w:r>
    </w:p>
    <w:p w14:paraId="0010028C" w14:textId="0010028D">
      <w:pPr>
        <w:spacing w:after="60"/>
        <w:jc w:val="center"/>
      </w:pPr>
      <w:r>
        <w:rPr>
          <w:b/>
          <w:sz w:val="22"/>
        </w:rPr>
        <w:t xml:space="preserve">— End of Report —</w:t>
      </w:r>
    </w:p>
    <w:p w14:paraId="0010028E" w14:textId="0010028F">
      <w:pPr>
        <w:spacing w:after="0"/>
        <w:jc w:val="center"/>
      </w:pPr>
      <w:r>
        <w:rPr>
          <w:color w:val="57606A"/>
          <w:sz w:val="20"/>
        </w:rPr>
        <w:t xml:space="preserve">B. Zughnesh Reddy  |  AIML Final Year  |  SITAMS, Chittoor</w:t>
      </w:r>
    </w:p>
    <w:sectPr>
      <w:pgSz w:w="11906" w:h="16838"/>
      <w:pgMar w:top="1440" w:right="1800" w:bottom="1440" w:left="1800"/>
      <w:docGrid w:type="default"/>
    </w:sectPr>
  </w:body>
</w:document>
</file>

<file path=word/numbering.xml><?xml version="1.0" encoding="utf-8"?>
<w:numbering xmlns:w="http://schemas.openxmlformats.org/wordprocessingml/2006/main"/>
</file>

<file path=word/settings.xml><?xml version="1.0" encoding="utf-8"?>
<w:settings xmlns:w="http://schemas.openxmlformats.org/wordprocessingml/2006/main">
  <w:characterSpacingControl w:val="doNotCompress"/>
  <w:compat>
    <w:spaceForUL/>
    <w:balanceSingleByteDoubleByteWidth/>
    <w:doNotLeaveBackslashAlone/>
    <w:ulTrailSpace/>
    <w:doNotExpandShiftReturn/>
    <w:adjustLineHeightInTabl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settings>
</file>

<file path=word/styles.xml><?xml version="1.0" encoding="utf-8"?>
<w:styles xmlns:w14="http://schemas.microsoft.com/office/word/2010/wordml" xmlns:mc="http://schemas.openxmlformats.org/markup-compatibility/2006" xmlns:w="http://schemas.openxmlformats.org/wordprocessingml/2006/main" mc:Ignorable="w14">
  <w:docDefaults>
    <w:rPrDefault>
      <w:rPr>
        <w:rFonts w:ascii="Calibri" w:hAnsi="Calibri"/>
        <w:sz w:val="22"/>
        <w:szCs w:val="22"/>
      </w:rPr>
    </w:rPrDefault>
    <w:pPrDefault/>
  </w:docDefaults>
  <w:style w:type="paragraph" w:styleId="Normal" w:default="true">
    <w:name w:val="Normal"/>
    <w:qFormat/>
    <w:pPr>
      <w:spacing w:after="0" w:line="259" w:lineRule="auto"/>
    </w:pPr>
  </w:style>
</w:styles>
</file>

<file path=word/_rels/document.xml.rels>&#65279;<?xml version="1.0" encoding="utf-8"?><Relationships xmlns="http://schemas.openxmlformats.org/package/2006/relationships"><Relationship Type="http://schemas.openxmlformats.org/officeDocument/2006/relationships/settings" Target="/word/settings.xml" Id="Rd5ca93a3f9c24933" /><Relationship Type="http://schemas.openxmlformats.org/officeDocument/2006/relationships/styles" Target="/word/styles.xml" Id="R3a90b5dd77864dc0" /><Relationship Type="http://schemas.openxmlformats.org/officeDocument/2006/relationships/theme" Target="/word/theme/theme1.xml" Id="R0db4566986b442cd" /><Relationship Type="http://schemas.openxmlformats.org/officeDocument/2006/relationships/numbering" Target="/word/numbering.xml" Id="Ra169547427564614" /><Relationship Type="http://schemas.openxmlformats.org/officeDocument/2006/relationships/image" Target="/media/image.png" Id="R023fef45ecb14ad0" /><Relationship Type="http://schemas.openxmlformats.org/officeDocument/2006/relationships/image" Target="/media/image2.png" Id="Rf1a431177b28460c" /><Relationship Type="http://schemas.openxmlformats.org/officeDocument/2006/relationships/image" Target="/media/image3.png" Id="R914dee43e541445a" /><Relationship Type="http://schemas.openxmlformats.org/officeDocument/2006/relationships/image" Target="/media/image4.png" Id="R244df1aa78e641f5" /><Relationship Type="http://schemas.openxmlformats.org/officeDocument/2006/relationships/image" Target="/media/image5.png" Id="Rea514ad57b0b43ac" /><Relationship Type="http://schemas.openxmlformats.org/officeDocument/2006/relationships/image" Target="/media/image6.png" Id="Rbf7f5f5426a142b7" /><Relationship Type="http://schemas.openxmlformats.org/officeDocument/2006/relationships/image" Target="/media/image7.png" Id="R9f26826f836a4aeb" /><Relationship Type="http://schemas.openxmlformats.org/officeDocument/2006/relationships/image" Target="/media/image8.png" Id="R2d4a1d43bab34c66" /><Relationship Type="http://schemas.openxmlformats.org/officeDocument/2006/relationships/image" Target="/media/image9.png" Id="Rb1db9fafc6a44f78" /><Relationship Type="http://schemas.openxmlformats.org/officeDocument/2006/relationships/image" Target="/media/image10.png" Id="R5f41175daf6f4be5" /><Relationship Type="http://schemas.openxmlformats.org/officeDocument/2006/relationships/image" Target="/media/image11.png" Id="R20d8139ef875430a" /><Relationship Type="http://schemas.openxmlformats.org/officeDocument/2006/relationships/image" Target="/media/image12.png" Id="R79872b170e3242da" /><Relationship Type="http://schemas.openxmlformats.org/officeDocument/2006/relationships/image" Target="/media/image13.png" Id="Ra8115f7008404043"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majorFont>
      <a:minorFont>
        <a:latin typeface="Calibri"/>
        <a:ea typeface=""/>
        <a:cs typeface=""/>
      </a:minorFont>
    </a:fontScheme>
    <a:fmtScheme name="Office">
      <a:fillStyleLst>
        <a:solidFill>
          <a:schemeClr val="phClr"/>
        </a:solidFill>
        <a:solidFill>
          <a:schemeClr val="phClr"/>
        </a:solidFill>
        <a:solidFill>
          <a:schemeClr val="phClr"/>
        </a:solidFill>
      </a:fillStyleLst>
      <a:lnStyleLst>
        <a:ln w="6350" cap="flat">
          <a:solidFill>
            <a:schemeClr val="phClr"/>
          </a:solidFill>
        </a:ln>
        <a:ln w="12700" cap="flat">
          <a:solidFill>
            <a:schemeClr val="phClr"/>
          </a:solidFill>
        </a:ln>
        <a:ln w="19050" cap="flat">
          <a:solidFill>
            <a:schemeClr val="phClr"/>
          </a:solidFill>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ap:Properties xmlns:ap="http://schemas.openxmlformats.org/officeDocument/2006/extended-properties">
  <ap:Application>OfficeCLI/1.0.151</ap:Application>
</ap:Properties>
</file>

<file path=docProps/core.xml><?xml version="1.0" encoding="utf-8"?>
<cp:coreProperties xmlns:cp="http://schemas.openxmlformats.org/package/2006/metadata/core-properties" xmlns:dc="http://purl.org/dc/elements/1.1/" xmlns:dcterms="http://purl.org/dc/terms/" xmlns:xsi="http://www.w3.org/2001/XMLSchema-instance">
  <dc:creator>OfficeCLI</dc:creator>
  <dcterms:created xsi:type="dcterms:W3CDTF">2026-09-17T17:29:07Z</dcterms:created>
  <cp:lastModifiedBy>OfficeCLI</cp:lastModifiedBy>
  <dcterms:modified xsi:type="dcterms:W3CDTF">2026-09-17T17:29:07Z</dcterms:modified>
</cp:coreProperties>
</file>

<file path=docProps/custom.xml><?xml version="1.0" encoding="utf-8"?>
<op:Properties xmlns:op="http://schemas.openxmlformats.org/officeDocument/2006/custom-properties">
  <op:property fmtid="{D5CDD505-2E9C-101B-9397-08002B2CF9AE}" pid="2" name="OfficeCLI.Version">
    <vt:lpwstr xmlns:vt="http://schemas.openxmlformats.org/officeDocument/2006/docPropsVTypes">1.0.151</vt:lpwstr>
  </op:property>
  <op:property fmtid="{D5CDD505-2E9C-101B-9397-08002B2CF9AE}" pid="3" name="OfficeCLI.LastModified">
    <vt:lpwstr xmlns:vt="http://schemas.openxmlformats.org/officeDocument/2006/docPropsVTypes">2026-09-17T17:40:09Z</vt:lpwstr>
  </op:property>
</op:Properties>
</file>