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0"/>
          <w:szCs w:val="30"/>
        </w:rPr>
        <w:t xml:space="preserve">AAPL 10-Q RAG System — Approach &amp; Design Notes</w:t>
      </w:r>
    </w:p>
    <w:p>
      <w:pPr>
        <w:spacing w:after="160"/>
        <w:jc w:val="both"/>
      </w:pPr>
      <w:r>
        <w:t xml:space="preserve">This note summarizes the approach, key design decisions, and the assumptions, challenges, and possible improvements behind the RAG system built for Apple's Q3 FY2022 10-Q filing. Implementation detail is in the repository README; this covers the reasoning.</w:t>
      </w:r>
    </w:p>
    <w:p>
      <w:pPr>
        <w:pStyle w:val="Heading1"/>
        <w:spacing w:after="140" w:before="280"/>
      </w:pPr>
      <w:r>
        <w:t xml:space="preserve">1. Approach</w:t>
      </w:r>
    </w:p>
    <w:p>
      <w:pPr>
        <w:spacing w:after="160"/>
        <w:jc w:val="both"/>
      </w:pPr>
      <w:r>
        <w:t xml:space="preserve">The filing is a ~30-page native-text PDF, dense with financial tables and notes, with no real embedded charts (its only image is a small logo). I built the system incrementally rather than all at once:</w:t>
      </w:r>
    </w:p>
    <w:p>
      <w:pPr>
        <w:pStyle w:val="ListParagraph"/>
        <w:numPr>
          <w:ilvl w:val="0"/>
          <w:numId w:val="2"/>
        </w:numPr>
        <w:spacing w:after="90"/>
      </w:pPr>
      <w:r>
        <w:rPr>
          <w:b/>
          <w:bCs/>
        </w:rPr>
        <w:t xml:space="preserve">Floor baseline: </w:t>
      </w:r>
      <w:r>
        <w:t xml:space="preserve">raw text extraction, fixed-size chunks, plain dense retrieval, single-prompt generation with citations. Gave a working system and a score to beat.</w:t>
      </w:r>
    </w:p>
    <w:p>
      <w:pPr>
        <w:pStyle w:val="ListParagraph"/>
        <w:numPr>
          <w:ilvl w:val="0"/>
          <w:numId w:val="2"/>
        </w:numPr>
        <w:spacing w:after="90"/>
      </w:pPr>
      <w:r>
        <w:rPr>
          <w:b/>
          <w:bCs/>
        </w:rPr>
        <w:t xml:space="preserve">Ceiling baseline: </w:t>
      </w:r>
      <w:r>
        <w:t xml:space="preserve">the whole filing stuffed into one prompt, no retrieval. Since the document is short, this is cheap and gave an honest upper bound to compare against.</w:t>
      </w:r>
    </w:p>
    <w:p>
      <w:pPr>
        <w:pStyle w:val="ListParagraph"/>
        <w:numPr>
          <w:ilvl w:val="0"/>
          <w:numId w:val="2"/>
        </w:numPr>
        <w:spacing w:after="90"/>
      </w:pPr>
      <w:r>
        <w:rPr>
          <w:b/>
          <w:bCs/>
        </w:rPr>
        <w:t xml:space="preserve">Diagnose the gap: </w:t>
      </w:r>
      <w:r>
        <w:t xml:space="preserve">the floor baseline scored well on text questions but noticeably worse on table questions — expected, since SEC tables (multi-row headers, parenthesized negatives, split dollar signs) don't survive plain text extraction intact.</w:t>
      </w:r>
    </w:p>
    <w:p>
      <w:pPr>
        <w:pStyle w:val="ListParagraph"/>
        <w:numPr>
          <w:ilvl w:val="0"/>
          <w:numId w:val="2"/>
        </w:numPr>
        <w:spacing w:after="90"/>
      </w:pPr>
      <w:r>
        <w:rPr>
          <w:b/>
          <w:bCs/>
        </w:rPr>
        <w:t xml:space="preserve">Fix and re-measure: </w:t>
      </w:r>
      <w:r>
        <w:t xml:space="preserve">rebuilt table handling, then chunking, then retrieval, checking scores after each change rather than assuming an improvement. This caught a real regression before it shipped (see Challenges).</w:t>
      </w:r>
    </w:p>
    <w:p>
      <w:pPr>
        <w:pStyle w:val="Heading1"/>
        <w:spacing w:after="140" w:before="280"/>
      </w:pPr>
      <w:r>
        <w:t xml:space="preserve">2. Design Decisions</w:t>
      </w:r>
    </w:p>
    <w:p>
      <w:pPr>
        <w:pStyle w:val="Heading2"/>
        <w:spacing w:after="100" w:before="200"/>
      </w:pPr>
      <w:r>
        <w:t xml:space="preserve">Parsing</w:t>
      </w:r>
    </w:p>
    <w:p>
      <w:pPr>
        <w:spacing w:after="160"/>
        <w:jc w:val="both"/>
      </w:pPr>
      <w:r>
        <w:t xml:space="preserve">Docling parses the filing once and is the source of truth for both text structure and tables. Its layout model classifies every block of text on the page — section header, body text, list item, page header/footer — by how it's actually laid out, not by matching keywords. PyMuPDF is only used for a simple fixed-size-chunk baseline and for rendering page images for the table cross-check below; the filing has a genuine text layer, so no OCR is needed anywhere.</w:t>
      </w:r>
    </w:p>
    <w:p>
      <w:pPr>
        <w:pStyle w:val="Heading2"/>
        <w:spacing w:after="100" w:before="200"/>
      </w:pPr>
      <w:r>
        <w:t xml:space="preserve">Table extraction</w:t>
      </w:r>
    </w:p>
    <w:p>
      <w:pPr>
        <w:spacing w:after="160"/>
        <w:jc w:val="both"/>
      </w:pPr>
      <w:r>
        <w:t xml:space="preserve">Docling gives structured table markdown as part of that same pass. Since automated table transcription can silently swap a digit, I added an independent cross-check: the same page is rendered as an image and transcribed separately by a vision model (Gemini 3.1 Flash-Lite), then the two extractions are compared number-by-number. All 31 tables across 21 table-bearing pages agreed 100% between the two methods.</w:t>
      </w:r>
    </w:p>
    <w:p>
      <w:pPr>
        <w:pStyle w:val="Heading2"/>
        <w:spacing w:after="100" w:before="200"/>
      </w:pPr>
      <w:r>
        <w:t xml:space="preserve">Table storage</w:t>
      </w:r>
    </w:p>
    <w:p>
      <w:pPr>
        <w:spacing w:after="160"/>
        <w:jc w:val="both"/>
      </w:pPr>
      <w:r>
        <w:t xml:space="preserve">Each table is stored two ways: a short LLM-written summary (embedded and searched against) and the full markdown table (substituted in as context once that summary is retrieved). This keeps search matching natural-language questions well while the model still sees the complete, exact numbers.</w:t>
      </w:r>
    </w:p>
    <w:p>
      <w:pPr>
        <w:pStyle w:val="Heading2"/>
        <w:spacing w:after="100" w:before="200"/>
      </w:pPr>
      <w:r>
        <w:t xml:space="preserve">Chunking</w:t>
      </w:r>
    </w:p>
    <w:p>
      <w:pPr>
        <w:spacing w:after="160"/>
        <w:jc w:val="both"/>
      </w:pPr>
      <w:r>
        <w:t xml:space="preserve">Text is split on Docling's own section-header classification rather than fixed-size windows or keyword matching, so a sentence is never cut away from the number it describes. I tried a regex-based version of this first (matching "Item N", "Note N", and similar patterns), and it had a real bug: a plain sentence that happened to start with "Item 1A of the Company's..." got misread as a heading and silently merged a large section of the filing under the wrong label. Docling's layout model doesn't make that mistake, since it's reading actual page layout, not wording — and it also picks up finer subsections (individual product lines, segment names) that the regex approach missed. Oversized sections are still split by packing whole lines, not raw token positions, so a claim is never cut mid-sentence.</w:t>
      </w:r>
    </w:p>
    <w:p>
      <w:pPr>
        <w:pStyle w:val="Heading2"/>
        <w:spacing w:after="100" w:before="200"/>
      </w:pPr>
      <w:r>
        <w:t xml:space="preserve">Retrieval</w:t>
      </w:r>
    </w:p>
    <w:p>
      <w:pPr>
        <w:spacing w:after="160"/>
        <w:jc w:val="both"/>
      </w:pPr>
      <w:r>
        <w:t xml:space="preserve">Hybrid dense embeddings + BM25, combined by Reciprocal Rank Fusion. Embeddings catch paraphrase and meaning; BM25 catches exact terms and figures. Fusing by rank avoids having to tune a blend of two scores that aren't comparable.</w:t>
      </w:r>
    </w:p>
    <w:p>
      <w:pPr>
        <w:pStyle w:val="Heading2"/>
        <w:spacing w:after="100" w:before="200"/>
      </w:pPr>
      <w:r>
        <w:t xml:space="preserve">Generation</w:t>
      </w:r>
    </w:p>
    <w:p>
      <w:pPr>
        <w:spacing w:after="160"/>
        <w:jc w:val="both"/>
      </w:pPr>
      <w:r>
        <w:t xml:space="preserve">A single prompt with retrieved excerpts, required page citations, and an explicit instruction to say "not enough information" rather than guess. Kept deliberately simple — no agentic loop or tool-calling — since testing didn't show that added machinery was fixing a real problem.</w:t>
      </w:r>
    </w:p>
    <w:p>
      <w:pPr>
        <w:pStyle w:val="Heading2"/>
        <w:spacing w:after="100" w:before="200"/>
      </w:pPr>
      <w:r>
        <w:t xml:space="preserve">Models and infrastructure</w:t>
      </w:r>
    </w:p>
    <w:p>
      <w:pPr>
        <w:spacing w:after="160"/>
        <w:jc w:val="both"/>
      </w:pPr>
      <w:r>
        <w:t xml:space="preserve">OpenAI's most cost-efficient model for generation and embeddings; Gemini Flash-Lite (free tier, vision-capable) for the table cross-check. FastAPI backend with one query endpoint, a minimal static UI, no database or container packaging — the task is one fixed document, not a multi-tenant platform.</w:t>
      </w:r>
    </w:p>
    <w:p>
      <w:pPr>
        <w:pStyle w:val="Heading1"/>
        <w:spacing w:after="140" w:before="280"/>
      </w:pPr>
      <w:r>
        <w:t xml:space="preserve">3. Assumptions, Challenges, Improvements Considered</w:t>
      </w:r>
    </w:p>
    <w:p>
      <w:pPr>
        <w:pStyle w:val="Heading2"/>
        <w:spacing w:after="100" w:before="200"/>
      </w:pPr>
      <w:r>
        <w:t xml:space="preserve">Assumptions</w:t>
      </w:r>
    </w:p>
    <w:p>
      <w:pPr>
        <w:pStyle w:val="ListParagraph"/>
        <w:numPr>
          <w:ilvl w:val="0"/>
          <w:numId w:val="2"/>
        </w:numPr>
        <w:spacing w:after="90"/>
      </w:pPr>
      <w:r>
        <w:t xml:space="preserve">The filing has a real text layer (true here), so no OCR fallback was built.</w:t>
      </w:r>
    </w:p>
    <w:p>
      <w:pPr>
        <w:pStyle w:val="ListParagraph"/>
        <w:numPr>
          <w:ilvl w:val="0"/>
          <w:numId w:val="2"/>
        </w:numPr>
        <w:spacing w:after="90"/>
      </w:pPr>
      <w:r>
        <w:t xml:space="preserve">“Figures” is read to include numerical figures in text/tables, since this filing has no chart content to test image-based figure Q&amp;A against. The table pipeline is vision-capable and would extend to a document that does have charts.</w:t>
      </w:r>
    </w:p>
    <w:p>
      <w:pPr>
        <w:pStyle w:val="ListParagraph"/>
        <w:numPr>
          <w:ilvl w:val="0"/>
          <w:numId w:val="2"/>
        </w:numPr>
        <w:spacing w:after="90"/>
      </w:pPr>
      <w:r>
        <w:t xml:space="preserve">A single fixed document loaded at startup is the right scope, matching the one test document given, rather than a general multi-document system.</w:t>
      </w:r>
    </w:p>
    <w:p>
      <w:pPr>
        <w:pStyle w:val="Heading2"/>
        <w:spacing w:after="100" w:before="200"/>
      </w:pPr>
      <w:r>
        <w:t xml:space="preserve">Challenges</w:t>
      </w:r>
    </w:p>
    <w:p>
      <w:pPr>
        <w:pStyle w:val="ListParagraph"/>
        <w:numPr>
          <w:ilvl w:val="0"/>
          <w:numId w:val="2"/>
        </w:numPr>
        <w:spacing w:after="90"/>
      </w:pPr>
      <w:r>
        <w:rPr>
          <w:b/>
          <w:bCs/>
        </w:rPr>
        <w:t xml:space="preserve">Table fidelity </w:t>
      </w:r>
      <w:r>
        <w:t xml:space="preserve">was the hardest problem; cross-checking two independent extraction methods was more effective than trusting either alone.</w:t>
      </w:r>
    </w:p>
    <w:p>
      <w:pPr>
        <w:pStyle w:val="ListParagraph"/>
        <w:numPr>
          <w:ilvl w:val="0"/>
          <w:numId w:val="2"/>
        </w:numPr>
        <w:spacing w:after="90"/>
      </w:pPr>
      <w:r>
        <w:rPr>
          <w:b/>
          <w:bCs/>
        </w:rPr>
        <w:t xml:space="preserve">A heading-detection regex </w:t>
      </w:r>
      <w:r>
        <w:t xml:space="preserve">matching “Item 1A” also matched an unrelated sentence starting the same way mid-paragraph, silently mislabeling a section. It surfaced only as a wrong answer to one specific question; tracing it required inspecting the actual retrieved chunk, not just the score. I ended up replacing the regex approach entirely with Docling's own layout-based section classification, which reads actual page structure rather than guessing from wording and doesn't have this failure mode.</w:t>
      </w:r>
    </w:p>
    <w:p>
      <w:pPr>
        <w:pStyle w:val="ListParagraph"/>
        <w:numPr>
          <w:ilvl w:val="0"/>
          <w:numId w:val="2"/>
        </w:numPr>
        <w:spacing w:after="90"/>
      </w:pPr>
      <w:r>
        <w:rPr>
          <w:b/>
          <w:bCs/>
        </w:rPr>
        <w:t xml:space="preserve">Free-tier rate limits </w:t>
      </w:r>
      <w:r>
        <w:t xml:space="preserve">on the vision model meant firing all requests at once triggered slow retry back-off; pacing requests proactively fixed it and made indexing time predictable.</w:t>
      </w:r>
    </w:p>
    <w:p>
      <w:pPr>
        <w:pStyle w:val="ListParagraph"/>
        <w:numPr>
          <w:ilvl w:val="0"/>
          <w:numId w:val="2"/>
        </w:numPr>
        <w:spacing w:after="90"/>
      </w:pPr>
      <w:r>
        <w:rPr>
          <w:b/>
          <w:bCs/>
        </w:rPr>
        <w:t xml:space="preserve">Few directly-answerable reference questions </w:t>
      </w:r>
      <w:r>
        <w:t xml:space="preserve">existed for this single filing in the source benchmark, so additional representative questions were drafted and checked by hand.</w:t>
      </w:r>
    </w:p>
    <w:p>
      <w:pPr>
        <w:pStyle w:val="Heading2"/>
        <w:spacing w:after="100" w:before="200"/>
      </w:pPr>
      <w:r>
        <w:t xml:space="preserve">Improvements considered</w:t>
      </w:r>
    </w:p>
    <w:p>
      <w:pPr>
        <w:pStyle w:val="ListParagraph"/>
        <w:numPr>
          <w:ilvl w:val="0"/>
          <w:numId w:val="2"/>
        </w:numPr>
        <w:spacing w:after="90"/>
      </w:pPr>
      <w:r>
        <w:t xml:space="preserve">Docker packaging — not needed for local development/demo, left for later.</w:t>
      </w:r>
    </w:p>
    <w:p>
      <w:pPr>
        <w:pStyle w:val="ListParagraph"/>
        <w:numPr>
          <w:ilvl w:val="0"/>
          <w:numId w:val="2"/>
        </w:numPr>
        <w:spacing w:after="90"/>
      </w:pPr>
      <w:r>
        <w:t xml:space="preserve">Reranking — more useful at larger corpus scale; the candidate set here is already small.</w:t>
      </w:r>
    </w:p>
    <w:p>
      <w:pPr>
        <w:pStyle w:val="ListParagraph"/>
        <w:numPr>
          <w:ilvl w:val="0"/>
          <w:numId w:val="2"/>
        </w:numPr>
        <w:spacing w:after="90"/>
      </w:pPr>
      <w:r>
        <w:t xml:space="preserve">A number-verification pass on generated answers — reasonable at higher stakes or scale; not built since hallucinated numbers weren't an observed failure mode.</w:t>
      </w:r>
    </w:p>
    <w:p>
      <w:pPr>
        <w:pStyle w:val="ListParagraph"/>
        <w:numPr>
          <w:ilvl w:val="0"/>
          <w:numId w:val="2"/>
        </w:numPr>
        <w:spacing w:after="90"/>
      </w:pPr>
      <w:r>
        <w:t xml:space="preserve">OCR fallback — for scanned documents, if the system needed to handle arbitrary uploads.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2026-09-24T18:03:42.260Z</dcterms:created>
  <dcterms:modified xsi:type="dcterms:W3CDTF">2026-09-24T18:03:42.261Z</dcterms:modified>
</cp:coreProperties>
</file>

<file path=docProps/custom.xml><?xml version="1.0" encoding="utf-8"?>
<Properties xmlns="http://schemas.openxmlformats.org/officeDocument/2006/custom-properties" xmlns:vt="http://schemas.openxmlformats.org/officeDocument/2006/docPropsVTypes"/>
</file>