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Chart-js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bar-chart-horizontal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Polar Area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