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UniFact Training Program</w:t>
      </w:r>
    </w:p>
    <w:p>
      <w:pPr>
        <w:jc w:val="center"/>
      </w:pPr>
      <w:r>
        <w:t>Facilitator Guide (Instructor Edition)</w:t>
      </w:r>
    </w:p>
    <w:p>
      <w:pPr>
        <w:jc w:val="center"/>
      </w:pPr>
      <w:r>
        <w:t>UniFact — One Fact. One Truth.</w:t>
      </w:r>
    </w:p>
    <w:p>
      <w:r>
        <w:br w:type="page"/>
      </w:r>
    </w:p>
    <w:p>
      <w:pPr>
        <w:pStyle w:val="Heading1"/>
      </w:pPr>
      <w:r>
        <w:t>Program overview</w:t>
      </w:r>
    </w:p>
    <w:p>
      <w:r>
        <w:rPr>
          <w:rFonts w:ascii="Arial" w:hAnsi="Arial"/>
          <w:b w:val="0"/>
          <w:sz w:val="22"/>
        </w:rPr>
        <w:t>Duration: 3–4 days over 2 weeks (or 2 intensive days).</w:t>
      </w:r>
    </w:p>
    <w:p>
      <w:r>
        <w:rPr>
          <w:rFonts w:ascii="Arial" w:hAnsi="Arial"/>
          <w:b w:val="0"/>
          <w:sz w:val="22"/>
        </w:rPr>
        <w:t>Audience: Developers, QA, Product owners, Business analysts.</w:t>
      </w:r>
    </w:p>
    <w:p>
      <w:r>
        <w:rPr>
          <w:rFonts w:ascii="Arial" w:hAnsi="Arial"/>
          <w:b w:val="0"/>
          <w:sz w:val="22"/>
        </w:rPr>
        <w:t>Prerequisites: Training sandbox registry (see below), person keys issued, MCP configured for dev room.</w:t>
      </w:r>
    </w:p>
    <w:p>
      <w:pPr>
        <w:pStyle w:val="ListBullet"/>
      </w:pPr>
      <w:r>
        <w:rPr>
          <w:rFonts w:ascii="Arial" w:hAnsi="Arial"/>
          <w:sz w:val="22"/>
        </w:rPr>
        <w:t>Foundation Handout — all roles (provided separately)</w:t>
      </w:r>
    </w:p>
    <w:p>
      <w:pPr>
        <w:pStyle w:val="ListBullet"/>
      </w:pPr>
      <w:r>
        <w:rPr>
          <w:rFonts w:ascii="Arial" w:hAnsi="Arial"/>
          <w:sz w:val="22"/>
        </w:rPr>
        <w:t>One lab workbook per role</w:t>
      </w:r>
    </w:p>
    <w:p>
      <w:pPr>
        <w:pStyle w:val="ListBullet"/>
      </w:pPr>
      <w:r>
        <w:rPr>
          <w:rFonts w:ascii="Arial" w:hAnsi="Arial"/>
          <w:sz w:val="22"/>
        </w:rPr>
        <w:t>Capstone requires mixed teams of 4</w:t>
      </w:r>
    </w:p>
    <w:p>
      <w:pPr>
        <w:pStyle w:val="Heading1"/>
      </w:pPr>
      <w:r>
        <w:t>Training sandbox (facilitator setup)</w:t>
      </w:r>
    </w:p>
    <w:p>
      <w:r>
        <w:rPr>
          <w:rFonts w:ascii="Arial" w:hAnsi="Arial"/>
          <w:b w:val="0"/>
          <w:sz w:val="22"/>
        </w:rPr>
        <w:t>The sandbox is a dedicated UniFact registry used only for training — not production org truth. Learners propose, publish, supersede, and break things safely without affecting real company facts.</w:t>
      </w:r>
    </w:p>
    <w:p>
      <w:pPr>
        <w:pStyle w:val="Heading2"/>
      </w:pPr>
      <w:r>
        <w:t>What to create before Day 1</w:t>
      </w:r>
    </w:p>
    <w:p>
      <w:pPr>
        <w:pStyle w:val="ListBullet"/>
      </w:pPr>
      <w:r>
        <w:rPr>
          <w:rFonts w:ascii="Arial" w:hAnsi="Arial"/>
          <w:sz w:val="22"/>
        </w:rPr>
        <w:t>A training registry (e.g. AcmeTraining) on your UniFact host or local store.db.</w:t>
      </w:r>
    </w:p>
    <w:p>
      <w:pPr>
        <w:pStyle w:val="ListBullet"/>
      </w:pPr>
      <w:r>
        <w:rPr>
          <w:rFonts w:ascii="Arial" w:hAnsi="Arial"/>
          <w:sz w:val="22"/>
        </w:rPr>
        <w:t>Namespaces: product.demo, sales.policy, company.guidelines (copy or lookup to Unifact/company.guidelines).</w:t>
      </w:r>
    </w:p>
    <w:p>
      <w:pPr>
        <w:pStyle w:val="ListBullet"/>
      </w:pPr>
      <w:r>
        <w:rPr>
          <w:rFonts w:ascii="Arial" w:hAnsi="Arial"/>
          <w:sz w:val="22"/>
        </w:rPr>
        <w:t>Person keys per attendee: dev-alice, qa-bob, po-carol, ba-dave (uni use &lt;person&gt;).</w:t>
      </w:r>
    </w:p>
    <w:p>
      <w:pPr>
        <w:pStyle w:val="ListBullet"/>
      </w:pPr>
      <w:r>
        <w:rPr>
          <w:rFonts w:ascii="Arial" w:hAnsi="Arial"/>
          <w:sz w:val="22"/>
        </w:rPr>
        <w:t>Optional: lookup add from training registry to Unifact/company.guidelines for shared read-only basics.</w:t>
      </w:r>
    </w:p>
    <w:p>
      <w:pPr>
        <w:pStyle w:val="ListBullet"/>
      </w:pPr>
      <w:r>
        <w:rPr>
          <w:rFonts w:ascii="Arial" w:hAnsi="Arial"/>
          <w:sz w:val="22"/>
        </w:rPr>
        <w:t>Sample policy PDF for BA extraction lab (can be a fake 'Acme Returns Policy').</w:t>
      </w:r>
    </w:p>
    <w:p>
      <w:pPr>
        <w:pStyle w:val="Heading2"/>
      </w:pPr>
      <w:r>
        <w:t>Sandbox rules (tell the class)</w:t>
      </w:r>
    </w:p>
    <w:p>
      <w:pPr>
        <w:pStyle w:val="ListBullet"/>
      </w:pPr>
      <w:r>
        <w:rPr>
          <w:rFonts w:ascii="Arial" w:hAnsi="Arial"/>
          <w:sz w:val="22"/>
        </w:rPr>
        <w:t>Proposed facts in the sandbox are for learning — not production policy.</w:t>
      </w:r>
    </w:p>
    <w:p>
      <w:pPr>
        <w:pStyle w:val="ListBullet"/>
      </w:pPr>
      <w:r>
        <w:rPr>
          <w:rFonts w:ascii="Arial" w:hAnsi="Arial"/>
          <w:sz w:val="22"/>
        </w:rPr>
        <w:t>Never point MCP at production registry keys during labs unless explicitly doing a read-only demo.</w:t>
      </w:r>
    </w:p>
    <w:p>
      <w:pPr>
        <w:pStyle w:val="ListBullet"/>
      </w:pPr>
      <w:r>
        <w:rPr>
          <w:rFonts w:ascii="Arial" w:hAnsi="Arial"/>
          <w:sz w:val="22"/>
        </w:rPr>
        <w:t>Reset option: new store.db or delete training registry facts between cohorts.</w:t>
      </w:r>
    </w:p>
    <w:p>
      <w:pPr>
        <w:pStyle w:val="ListBullet"/>
      </w:pPr>
      <w:r>
        <w:rPr>
          <w:rFonts w:ascii="Arial" w:hAnsi="Arial"/>
          <w:sz w:val="22"/>
        </w:rPr>
        <w:t>Secrets (API keys, passwords) never go in facts — use env vars per company.infrastructure guidance.</w:t>
      </w:r>
    </w:p>
    <w:p>
      <w:pPr>
        <w:pStyle w:val="Heading2"/>
      </w:pPr>
      <w:r>
        <w:t>Minimal local sandbox (facilitator machine)</w:t>
      </w:r>
    </w:p>
    <w:p>
      <w:pPr>
        <w:pStyle w:val="ListBullet"/>
      </w:pPr>
      <w:r>
        <w:rPr>
          <w:rFonts w:ascii="Arial" w:hAnsi="Arial"/>
          <w:sz w:val="22"/>
        </w:rPr>
        <w:t>Clone unifact repo; npm install &amp;&amp; npm run build.</w:t>
      </w:r>
    </w:p>
    <w:p>
      <w:pPr>
        <w:pStyle w:val="ListBullet"/>
      </w:pPr>
      <w:r>
        <w:rPr>
          <w:rFonts w:ascii="Arial" w:hAnsi="Arial"/>
          <w:sz w:val="22"/>
        </w:rPr>
        <w:t>Use DATABASE_PATH=store.db (or a copy docs/training/sandbox-store.db).</w:t>
      </w:r>
    </w:p>
    <w:p>
      <w:pPr>
        <w:pStyle w:val="ListBullet"/>
      </w:pPr>
      <w:r>
        <w:rPr>
          <w:rFonts w:ascii="Arial" w:hAnsi="Arial"/>
          <w:sz w:val="22"/>
        </w:rPr>
        <w:t>uni use &lt;training-person&gt;; seed or propose starter facts in product.demo.</w:t>
      </w:r>
    </w:p>
    <w:p>
      <w:pPr>
        <w:pStyle w:val="ListBullet"/>
      </w:pPr>
      <w:r>
        <w:rPr>
          <w:rFonts w:ascii="Arial" w:hAnsi="Arial"/>
          <w:sz w:val="22"/>
        </w:rPr>
        <w:t>Point trainee .cursor/mcp.json at the same store.db for shared local labs, or per-laptop copies.</w:t>
      </w:r>
    </w:p>
    <w:p>
      <w:pPr>
        <w:pStyle w:val="Heading1"/>
      </w:pPr>
      <w:r>
        <w:t>Day 1 — Foundation (all roles, 3.5 hours)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Module</w:t>
            </w:r>
          </w:p>
        </w:tc>
        <w:tc>
          <w:tcPr>
            <w:tcW w:type="dxa" w:w="3120"/>
          </w:tcPr>
          <w:p>
            <w:r>
              <w:t>Facilitator notes</w:t>
            </w:r>
          </w:p>
        </w:tc>
      </w:tr>
      <w:tr>
        <w:tc>
          <w:tcPr>
            <w:tcW w:type="dxa" w:w="3120"/>
          </w:tcPr>
          <w:p>
            <w:r>
              <w:t>0:00–0:15</w:t>
            </w:r>
          </w:p>
        </w:tc>
        <w:tc>
          <w:tcPr>
            <w:tcW w:type="dxa" w:w="3120"/>
          </w:tcPr>
          <w:p>
            <w:r>
              <w:t>Welcome &amp; objectives</w:t>
            </w:r>
          </w:p>
        </w:tc>
        <w:tc>
          <w:tcPr>
            <w:tcW w:type="dxa" w:w="3120"/>
          </w:tcPr>
          <w:p>
            <w:r>
              <w:t>Emphasize: One Fact. One Truth. Separate docs vs managed facts.</w:t>
            </w:r>
          </w:p>
        </w:tc>
      </w:tr>
      <w:tr>
        <w:tc>
          <w:tcPr>
            <w:tcW w:type="dxa" w:w="3120"/>
          </w:tcPr>
          <w:p>
            <w:r>
              <w:t>0:15–1:00</w:t>
            </w:r>
          </w:p>
        </w:tc>
        <w:tc>
          <w:tcPr>
            <w:tcW w:type="dxa" w:w="3120"/>
          </w:tcPr>
          <w:p>
            <w:r>
              <w:t>1.1 Why UniFact</w:t>
            </w:r>
          </w:p>
        </w:tc>
        <w:tc>
          <w:tcPr>
            <w:tcW w:type="dxa" w:w="3120"/>
          </w:tcPr>
          <w:p>
            <w:r>
              <w:t>Use return-policy example. Ask: where is truth today?</w:t>
            </w:r>
          </w:p>
        </w:tc>
      </w:tr>
      <w:tr>
        <w:tc>
          <w:tcPr>
            <w:tcW w:type="dxa" w:w="3120"/>
          </w:tcPr>
          <w:p>
            <w:r>
              <w:t>1:00–2:00</w:t>
            </w:r>
          </w:p>
        </w:tc>
        <w:tc>
          <w:tcPr>
            <w:tcW w:type="dxa" w:w="3120"/>
          </w:tcPr>
          <w:p>
            <w:r>
              <w:t>1.2 Core concepts</w:t>
            </w:r>
          </w:p>
        </w:tc>
        <w:tc>
          <w:tcPr>
            <w:tcW w:type="dxa" w:w="3120"/>
          </w:tcPr>
          <w:p>
            <w:r>
              <w:t>Use Foundation Handout. Quiz: document vs draft vs published.</w:t>
            </w:r>
          </w:p>
        </w:tc>
      </w:tr>
      <w:tr>
        <w:tc>
          <w:tcPr>
            <w:tcW w:type="dxa" w:w="3120"/>
          </w:tcPr>
          <w:p>
            <w:r>
              <w:t>2:00–2:15</w:t>
            </w:r>
          </w:p>
        </w:tc>
        <w:tc>
          <w:tcPr>
            <w:tcW w:type="dxa" w:w="3120"/>
          </w:tcPr>
          <w:p>
            <w:r>
              <w:t>Break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2:15–2:45</w:t>
            </w:r>
          </w:p>
        </w:tc>
        <w:tc>
          <w:tcPr>
            <w:tcW w:type="dxa" w:w="3120"/>
          </w:tcPr>
          <w:p>
            <w:r>
              <w:t>1.3 Resolution order</w:t>
            </w:r>
          </w:p>
        </w:tc>
        <w:tc>
          <w:tcPr>
            <w:tcW w:type="dxa" w:w="3120"/>
          </w:tcPr>
          <w:p>
            <w:r>
              <w:t>Whiteboard lookup path. Common mistake: lookup ≠ membership.</w:t>
            </w:r>
          </w:p>
        </w:tc>
      </w:tr>
      <w:tr>
        <w:tc>
          <w:tcPr>
            <w:tcW w:type="dxa" w:w="3120"/>
          </w:tcPr>
          <w:p>
            <w:r>
              <w:t>2:45–3:15</w:t>
            </w:r>
          </w:p>
        </w:tc>
        <w:tc>
          <w:tcPr>
            <w:tcW w:type="dxa" w:w="3120"/>
          </w:tcPr>
          <w:p>
            <w:r>
              <w:t>1.4 Interfaces</w:t>
            </w:r>
          </w:p>
        </w:tc>
        <w:tc>
          <w:tcPr>
            <w:tcW w:type="dxa" w:w="3120"/>
          </w:tcPr>
          <w:p>
            <w:r>
              <w:t>Demo MCP Fact Check + CLI list_facts.</w:t>
            </w:r>
          </w:p>
        </w:tc>
      </w:tr>
      <w:tr>
        <w:tc>
          <w:tcPr>
            <w:tcW w:type="dxa" w:w="3120"/>
          </w:tcPr>
          <w:p>
            <w:r>
              <w:t>3:15–3:45</w:t>
            </w:r>
          </w:p>
        </w:tc>
        <w:tc>
          <w:tcPr>
            <w:tcW w:type="dxa" w:w="3120"/>
          </w:tcPr>
          <w:p>
            <w:r>
              <w:t>1.5 Live lifecycle demo</w:t>
            </w:r>
          </w:p>
        </w:tc>
        <w:tc>
          <w:tcPr>
            <w:tcW w:type="dxa" w:w="3120"/>
          </w:tcPr>
          <w:p>
            <w:r>
              <w:t>Propose → approve → publish → supersede.</w:t>
            </w:r>
          </w:p>
        </w:tc>
      </w:tr>
    </w:tbl>
    <w:p/>
    <w:p>
      <w:pPr>
        <w:pStyle w:val="Heading1"/>
      </w:pPr>
      <w:r>
        <w:t>Day 1 PM / Day 2 — Role tracks</w:t>
      </w:r>
    </w:p>
    <w:p>
      <w:r>
        <w:rPr>
          <w:rFonts w:ascii="Arial" w:hAnsi="Arial"/>
          <w:b w:val="0"/>
          <w:sz w:val="22"/>
        </w:rPr>
        <w:t>Split into breakouts. Each group uses their role lab workbook.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Track</w:t>
            </w:r>
          </w:p>
        </w:tc>
        <w:tc>
          <w:tcPr>
            <w:tcW w:type="dxa" w:w="2340"/>
          </w:tcPr>
          <w:p>
            <w:r>
              <w:t>Duration</w:t>
            </w:r>
          </w:p>
        </w:tc>
        <w:tc>
          <w:tcPr>
            <w:tcW w:type="dxa" w:w="2340"/>
          </w:tcPr>
          <w:p>
            <w:r>
              <w:t>Workbook</w:t>
            </w:r>
          </w:p>
        </w:tc>
        <w:tc>
          <w:tcPr>
            <w:tcW w:type="dxa" w:w="2340"/>
          </w:tcPr>
          <w:p>
            <w:r>
              <w:t>Certification</w:t>
            </w:r>
          </w:p>
        </w:tc>
      </w:tr>
      <w:tr>
        <w:tc>
          <w:tcPr>
            <w:tcW w:type="dxa" w:w="2340"/>
          </w:tcPr>
          <w:p>
            <w:r>
              <w:t>Developer</w:t>
            </w:r>
          </w:p>
        </w:tc>
        <w:tc>
          <w:tcPr>
            <w:tcW w:type="dxa" w:w="2340"/>
          </w:tcPr>
          <w:p>
            <w:r>
              <w:t>6–7 hrs</w:t>
            </w:r>
          </w:p>
        </w:tc>
        <w:tc>
          <w:tcPr>
            <w:tcW w:type="dxa" w:w="2340"/>
          </w:tcPr>
          <w:p>
            <w:r>
              <w:t>Lab-Developer</w:t>
            </w:r>
          </w:p>
        </w:tc>
        <w:tc>
          <w:tcPr>
            <w:tcW w:type="dxa" w:w="2340"/>
          </w:tcPr>
          <w:p>
            <w:r>
              <w:t>MCP + propose fact + Fact Check</w:t>
            </w:r>
          </w:p>
        </w:tc>
      </w:tr>
      <w:tr>
        <w:tc>
          <w:tcPr>
            <w:tcW w:type="dxa" w:w="2340"/>
          </w:tcPr>
          <w:p>
            <w:r>
              <w:t>QA</w:t>
            </w:r>
          </w:p>
        </w:tc>
        <w:tc>
          <w:tcPr>
            <w:tcW w:type="dxa" w:w="2340"/>
          </w:tcPr>
          <w:p>
            <w:r>
              <w:t>4–5 hrs</w:t>
            </w:r>
          </w:p>
        </w:tc>
        <w:tc>
          <w:tcPr>
            <w:tcW w:type="dxa" w:w="2340"/>
          </w:tcPr>
          <w:p>
            <w:r>
              <w:t>Lab-QA</w:t>
            </w:r>
          </w:p>
        </w:tc>
        <w:tc>
          <w:tcPr>
            <w:tcW w:type="dxa" w:w="2340"/>
          </w:tcPr>
          <w:p>
            <w:r>
              <w:t>Lifecycle test plan + published-only assertion</w:t>
            </w:r>
          </w:p>
        </w:tc>
      </w:tr>
      <w:tr>
        <w:tc>
          <w:tcPr>
            <w:tcW w:type="dxa" w:w="2340"/>
          </w:tcPr>
          <w:p>
            <w:r>
              <w:t>Product owner</w:t>
            </w:r>
          </w:p>
        </w:tc>
        <w:tc>
          <w:tcPr>
            <w:tcW w:type="dxa" w:w="2340"/>
          </w:tcPr>
          <w:p>
            <w:r>
              <w:t>4–5 hrs</w:t>
            </w:r>
          </w:p>
        </w:tc>
        <w:tc>
          <w:tcPr>
            <w:tcW w:type="dxa" w:w="2340"/>
          </w:tcPr>
          <w:p>
            <w:r>
              <w:t>Lab-ProductOwner</w:t>
            </w:r>
          </w:p>
        </w:tc>
        <w:tc>
          <w:tcPr>
            <w:tcW w:type="dxa" w:w="2340"/>
          </w:tcPr>
          <w:p>
            <w:r>
              <w:t>Review queue + namespace map</w:t>
            </w:r>
          </w:p>
        </w:tc>
      </w:tr>
      <w:tr>
        <w:tc>
          <w:tcPr>
            <w:tcW w:type="dxa" w:w="2340"/>
          </w:tcPr>
          <w:p>
            <w:r>
              <w:t>Business analyst</w:t>
            </w:r>
          </w:p>
        </w:tc>
        <w:tc>
          <w:tcPr>
            <w:tcW w:type="dxa" w:w="2340"/>
          </w:tcPr>
          <w:p>
            <w:r>
              <w:t>4–5 hrs</w:t>
            </w:r>
          </w:p>
        </w:tc>
        <w:tc>
          <w:tcPr>
            <w:tcW w:type="dxa" w:w="2340"/>
          </w:tcPr>
          <w:p>
            <w:r>
              <w:t>Lab-BusinessAnalyst</w:t>
            </w:r>
          </w:p>
        </w:tc>
        <w:tc>
          <w:tcPr>
            <w:tcW w:type="dxa" w:w="2340"/>
          </w:tcPr>
          <w:p>
            <w:r>
              <w:t>10 proposed facts + traceability</w:t>
            </w:r>
          </w:p>
        </w:tc>
      </w:tr>
    </w:tbl>
    <w:p/>
    <w:p>
      <w:pPr>
        <w:pStyle w:val="Heading1"/>
      </w:pPr>
      <w:r>
        <w:t>Capstone (2.5 hours, mixed teams)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sz w:val="22"/>
        </w:rPr>
        <w:t>Return policy changes from 30 to 45 days for Customer X (account-specific fact).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Task</w:t>
            </w:r>
          </w:p>
        </w:tc>
        <w:tc>
          <w:tcPr>
            <w:tcW w:type="dxa" w:w="3120"/>
          </w:tcPr>
          <w:p>
            <w:r>
              <w:t>Success criteria</w:t>
            </w:r>
          </w:p>
        </w:tc>
      </w:tr>
      <w:tr>
        <w:tc>
          <w:tcPr>
            <w:tcW w:type="dxa" w:w="3120"/>
          </w:tcPr>
          <w:p>
            <w:r>
              <w:t>BA</w:t>
            </w:r>
          </w:p>
        </w:tc>
        <w:tc>
          <w:tcPr>
            <w:tcW w:type="dxa" w:w="3120"/>
          </w:tcPr>
          <w:p>
            <w:r>
              <w:t>Propose universal + account-specific facts with evidence</w:t>
            </w:r>
          </w:p>
        </w:tc>
        <w:tc>
          <w:tcPr>
            <w:tcW w:type="dxa" w:w="3120"/>
          </w:tcPr>
          <w:p>
            <w:r>
              <w:t>Keys follow namespace convention</w:t>
            </w:r>
          </w:p>
        </w:tc>
      </w:tr>
      <w:tr>
        <w:tc>
          <w:tcPr>
            <w:tcW w:type="dxa" w:w="3120"/>
          </w:tcPr>
          <w:p>
            <w:r>
              <w:t>PO</w:t>
            </w:r>
          </w:p>
        </w:tc>
        <w:tc>
          <w:tcPr>
            <w:tcW w:type="dxa" w:w="3120"/>
          </w:tcPr>
          <w:p>
            <w:r>
              <w:t>Review, approve, publish; supersede old fact</w:t>
            </w:r>
          </w:p>
        </w:tc>
        <w:tc>
          <w:tcPr>
            <w:tcW w:type="dxa" w:w="3120"/>
          </w:tcPr>
          <w:p>
            <w:r>
              <w:t>Only one published return-window per scope</w:t>
            </w:r>
          </w:p>
        </w:tc>
      </w:tr>
      <w:tr>
        <w:tc>
          <w:tcPr>
            <w:tcW w:type="dxa" w:w="3120"/>
          </w:tcPr>
          <w:p>
            <w:r>
              <w:t>Dev</w:t>
            </w:r>
          </w:p>
        </w:tc>
        <w:tc>
          <w:tcPr>
            <w:tcW w:type="dxa" w:w="3120"/>
          </w:tcPr>
          <w:p>
            <w:r>
              <w:t>Fact Check; reference published key in code/config</w:t>
            </w:r>
          </w:p>
        </w:tc>
        <w:tc>
          <w:tcPr>
            <w:tcW w:type="dxa" w:w="3120"/>
          </w:tcPr>
          <w:p>
            <w:r>
              <w:t>No hardcoded 30 when published says 45</w:t>
            </w:r>
          </w:p>
        </w:tc>
      </w:tr>
      <w:tr>
        <w:tc>
          <w:tcPr>
            <w:tcW w:type="dxa" w:w="3120"/>
          </w:tcPr>
          <w:p>
            <w:r>
              <w:t>QA</w:t>
            </w:r>
          </w:p>
        </w:tc>
        <w:tc>
          <w:tcPr>
            <w:tcW w:type="dxa" w:w="3120"/>
          </w:tcPr>
          <w:p>
            <w:r>
              <w:t>Test published fact drives behavior</w:t>
            </w:r>
          </w:p>
        </w:tc>
        <w:tc>
          <w:tcPr>
            <w:tcW w:type="dxa" w:w="3120"/>
          </w:tcPr>
          <w:p>
            <w:r>
              <w:t>Fails if proposed fact used in prod path</w:t>
            </w:r>
          </w:p>
        </w:tc>
      </w:tr>
    </w:tbl>
    <w:p/>
    <w:p>
      <w:pPr>
        <w:pStyle w:val="Heading2"/>
      </w:pPr>
      <w:r>
        <w:t>Debrief questions (facilitator)</w:t>
      </w:r>
    </w:p>
    <w:p>
      <w:pPr>
        <w:pStyle w:val="ListBullet"/>
      </w:pPr>
      <w:r>
        <w:rPr>
          <w:rFonts w:ascii="Arial" w:hAnsi="Arial"/>
          <w:sz w:val="22"/>
        </w:rPr>
        <w:t>What broke when someone used a proposed fact as truth?</w:t>
      </w:r>
    </w:p>
    <w:p>
      <w:pPr>
        <w:pStyle w:val="ListBullet"/>
      </w:pPr>
      <w:r>
        <w:rPr>
          <w:rFonts w:ascii="Arial" w:hAnsi="Arial"/>
          <w:sz w:val="22"/>
        </w:rPr>
        <w:t>What's the difference between lookup and membership?</w:t>
      </w:r>
    </w:p>
    <w:p>
      <w:pPr>
        <w:pStyle w:val="ListBullet"/>
      </w:pPr>
      <w:r>
        <w:rPr>
          <w:rFonts w:ascii="Arial" w:hAnsi="Arial"/>
          <w:sz w:val="22"/>
        </w:rPr>
        <w:t>When would you supersede vs edit in place?</w:t>
      </w:r>
    </w:p>
    <w:p>
      <w:pPr>
        <w:pStyle w:val="ListBullet"/>
      </w:pPr>
      <w:r>
        <w:rPr>
          <w:rFonts w:ascii="Arial" w:hAnsi="Arial"/>
          <w:sz w:val="22"/>
        </w:rPr>
        <w:t>What belongs in company.infrastructure vs a published policy namespace?</w:t>
      </w:r>
    </w:p>
    <w:p>
      <w:pPr>
        <w:pStyle w:val="Heading1"/>
      </w:pPr>
      <w:r>
        <w:t>Answer key — Foundation quiz</w:t>
      </w:r>
    </w:p>
    <w:p>
      <w:r>
        <w:rPr>
          <w:rFonts w:ascii="Arial" w:hAnsi="Arial"/>
          <w:b w:val="0"/>
          <w:sz w:val="22"/>
        </w:rPr>
        <w:t>Document: 'Return policy v3.docx' → document, not a Uni Fact until extracted and published.</w:t>
      </w:r>
    </w:p>
    <w:p>
      <w:r>
        <w:rPr>
          <w:rFonts w:ascii="Arial" w:hAnsi="Arial"/>
          <w:b w:val="0"/>
          <w:sz w:val="22"/>
        </w:rPr>
        <w:t>Proposed fact in review queue → draft, not truth.</w:t>
      </w:r>
    </w:p>
    <w:p>
      <w:r>
        <w:rPr>
          <w:rFonts w:ascii="Arial" w:hAnsi="Arial"/>
          <w:b w:val="0"/>
          <w:sz w:val="22"/>
        </w:rPr>
        <w:t>Published sales.policy/returns → organizational truth for agents and apps.</w:t>
      </w:r>
    </w:p>
    <w:p>
      <w:pPr>
        <w:pStyle w:val="Heading1"/>
      </w:pPr>
      <w:r>
        <w:t>Troubleshooting (MCP / CLI)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Symptom</w:t>
            </w:r>
          </w:p>
        </w:tc>
        <w:tc>
          <w:tcPr>
            <w:tcW w:type="dxa" w:w="4680"/>
          </w:tcPr>
          <w:p>
            <w:r>
              <w:t>Fix</w:t>
            </w:r>
          </w:p>
        </w:tc>
      </w:tr>
      <w:tr>
        <w:tc>
          <w:tcPr>
            <w:tcW w:type="dxa" w:w="4680"/>
          </w:tcPr>
          <w:p>
            <w:r>
              <w:t>Cannot find dist/mcp.js</w:t>
            </w:r>
          </w:p>
        </w:tc>
        <w:tc>
          <w:tcPr>
            <w:tcW w:type="dxa" w:w="4680"/>
          </w:tcPr>
          <w:p>
            <w:r>
              <w:t>npm run build in unifact repo; use absolute path</w:t>
            </w:r>
          </w:p>
        </w:tc>
      </w:tr>
      <w:tr>
        <w:tc>
          <w:tcPr>
            <w:tcW w:type="dxa" w:w="4680"/>
          </w:tcPr>
          <w:p>
            <w:r>
              <w:t>better_sqlite3 NODE_MODULE_VERSION</w:t>
            </w:r>
          </w:p>
        </w:tc>
        <w:tc>
          <w:tcPr>
            <w:tcW w:type="dxa" w:w="4680"/>
          </w:tcPr>
          <w:p>
            <w:r>
              <w:t>Rebuild native module or use system Node path</w:t>
            </w:r>
          </w:p>
        </w:tc>
      </w:tr>
      <w:tr>
        <w:tc>
          <w:tcPr>
            <w:tcW w:type="dxa" w:w="4680"/>
          </w:tcPr>
          <w:p>
            <w:r>
              <w:t>Wrong propose attribution</w:t>
            </w:r>
          </w:p>
        </w:tc>
        <w:tc>
          <w:tcPr>
            <w:tcW w:type="dxa" w:w="4680"/>
          </w:tcPr>
          <w:p>
            <w:r>
              <w:t>uni use &lt;workAgentPerson&gt; before agent writes</w:t>
            </w:r>
          </w:p>
        </w:tc>
      </w:tr>
      <w:tr>
        <w:tc>
          <w:tcPr>
            <w:tcW w:type="dxa" w:w="4680"/>
          </w:tcPr>
          <w:p>
            <w:r>
              <w:t>Write denied on looked-up namespace</w:t>
            </w:r>
          </w:p>
        </w:tc>
        <w:tc>
          <w:tcPr>
            <w:tcW w:type="dxa" w:w="4680"/>
          </w:tcPr>
          <w:p>
            <w:r>
              <w:t>Expected — lookup is read-only; join registry to write</w:t>
            </w:r>
          </w:p>
        </w:tc>
      </w:tr>
    </w:tbl>
    <w:p/>
    <w:p>
      <w:pPr>
        <w:pStyle w:val="Heading1"/>
      </w:pPr>
      <w:r>
        <w:t>Materials checklist</w:t>
      </w:r>
    </w:p>
    <w:p>
      <w:pPr>
        <w:pStyle w:val="ListBullet"/>
      </w:pPr>
      <w:r>
        <w:rPr>
          <w:rFonts w:ascii="Arial" w:hAnsi="Arial"/>
          <w:sz w:val="22"/>
        </w:rPr>
        <w:t>Sandbox registry (e.g. AcmeTraining) with training person keys</w:t>
      </w:r>
    </w:p>
    <w:p>
      <w:pPr>
        <w:pStyle w:val="ListBullet"/>
      </w:pPr>
      <w:r>
        <w:rPr>
          <w:rFonts w:ascii="Arial" w:hAnsi="Arial"/>
          <w:sz w:val="22"/>
        </w:rPr>
        <w:t>Projector + facilitator machine with working MCP demo</w:t>
      </w:r>
    </w:p>
    <w:p>
      <w:pPr>
        <w:pStyle w:val="ListBullet"/>
      </w:pPr>
      <w:r>
        <w:rPr>
          <w:rFonts w:ascii="Arial" w:hAnsi="Arial"/>
          <w:sz w:val="22"/>
        </w:rPr>
        <w:t>Sample policy PDF for BA extraction lab</w:t>
      </w:r>
    </w:p>
    <w:p>
      <w:pPr>
        <w:pStyle w:val="ListBullet"/>
      </w:pPr>
      <w:r>
        <w:rPr>
          <w:rFonts w:ascii="Arial" w:hAnsi="Arial"/>
          <w:sz w:val="22"/>
        </w:rPr>
        <w:t>Printed or digital Foundation Handout for all attendees</w:t>
      </w:r>
    </w:p>
    <w:p>
      <w:pPr>
        <w:pStyle w:val="ListBullet"/>
      </w:pPr>
      <w:r>
        <w:rPr>
          <w:rFonts w:ascii="Arial" w:hAnsi="Arial"/>
          <w:sz w:val="22"/>
        </w:rPr>
        <w:t>Certification sign-off sheet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