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UniFact Training</w:t>
      </w:r>
    </w:p>
    <w:p>
      <w:pPr>
        <w:jc w:val="center"/>
      </w:pPr>
      <w:r>
        <w:t>Foundation Handout — All Roles</w:t>
      </w:r>
    </w:p>
    <w:p>
      <w:pPr>
        <w:jc w:val="center"/>
      </w:pPr>
      <w:r>
        <w:t>UniFact — One Fact. One Truth.</w:t>
      </w:r>
    </w:p>
    <w:p>
      <w:r>
        <w:br w:type="page"/>
      </w:r>
    </w:p>
    <w:p>
      <w:pPr>
        <w:pStyle w:val="Heading1"/>
      </w:pPr>
      <w:r>
        <w:t>Shared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Term</w:t>
            </w:r>
          </w:p>
        </w:tc>
        <w:tc>
          <w:tcPr>
            <w:tcW w:type="dxa" w:w="4680"/>
          </w:tcPr>
          <w:p>
            <w:r>
              <w:t>Definition</w:t>
            </w:r>
          </w:p>
        </w:tc>
      </w:tr>
      <w:tr>
        <w:tc>
          <w:tcPr>
            <w:tcW w:type="dxa" w:w="4680"/>
          </w:tcPr>
          <w:p>
            <w:r>
              <w:t>Registry</w:t>
            </w:r>
          </w:p>
        </w:tc>
        <w:tc>
          <w:tcPr>
            <w:tcW w:type="dxa" w:w="4680"/>
          </w:tcPr>
          <w:p>
            <w:r>
              <w:t>Tenancy — who owns facts and who may write</w:t>
            </w:r>
          </w:p>
        </w:tc>
      </w:tr>
      <w:tr>
        <w:tc>
          <w:tcPr>
            <w:tcW w:type="dxa" w:w="4680"/>
          </w:tcPr>
          <w:p>
            <w:r>
              <w:t>Namespace</w:t>
            </w:r>
          </w:p>
        </w:tc>
        <w:tc>
          <w:tcPr>
            <w:tcW w:type="dxa" w:w="4680"/>
          </w:tcPr>
          <w:p>
            <w:r>
              <w:t>Topic folder inside a registry (e.g. sales.policy)</w:t>
            </w:r>
          </w:p>
        </w:tc>
      </w:tr>
      <w:tr>
        <w:tc>
          <w:tcPr>
            <w:tcW w:type="dxa" w:w="4680"/>
          </w:tcPr>
          <w:p>
            <w:r>
              <w:t>Uni Fact</w:t>
            </w:r>
          </w:p>
        </w:tc>
        <w:tc>
          <w:tcPr>
            <w:tcW w:type="dxa" w:w="4680"/>
          </w:tcPr>
          <w:p>
            <w:r>
              <w:t>One named entry: namespace/key + value + metadata</w:t>
            </w:r>
          </w:p>
        </w:tc>
      </w:tr>
      <w:tr>
        <w:tc>
          <w:tcPr>
            <w:tcW w:type="dxa" w:w="4680"/>
          </w:tcPr>
          <w:p>
            <w:r>
              <w:t>Published</w:t>
            </w:r>
          </w:p>
        </w:tc>
        <w:tc>
          <w:tcPr>
            <w:tcW w:type="dxa" w:w="4680"/>
          </w:tcPr>
          <w:p>
            <w:r>
              <w:t>Approved truth — safe for prod, agents, and customers</w:t>
            </w:r>
          </w:p>
        </w:tc>
      </w:tr>
      <w:tr>
        <w:tc>
          <w:tcPr>
            <w:tcW w:type="dxa" w:w="4680"/>
          </w:tcPr>
          <w:p>
            <w:r>
              <w:t>Proposed</w:t>
            </w:r>
          </w:p>
        </w:tc>
        <w:tc>
          <w:tcPr>
            <w:tcW w:type="dxa" w:w="4680"/>
          </w:tcPr>
          <w:p>
            <w:r>
              <w:t>Draft awaiting review — not organizational truth</w:t>
            </w:r>
          </w:p>
        </w:tc>
      </w:tr>
      <w:tr>
        <w:tc>
          <w:tcPr>
            <w:tcW w:type="dxa" w:w="4680"/>
          </w:tcPr>
          <w:p>
            <w:r>
              <w:t>Lookup</w:t>
            </w:r>
          </w:p>
        </w:tc>
        <w:tc>
          <w:tcPr>
            <w:tcW w:type="dxa" w:w="4680"/>
          </w:tcPr>
          <w:p>
            <w:r>
              <w:t>Read-only link to another registry's published facts</w:t>
            </w:r>
          </w:p>
        </w:tc>
      </w:tr>
      <w:tr>
        <w:tc>
          <w:tcPr>
            <w:tcW w:type="dxa" w:w="4680"/>
          </w:tcPr>
          <w:p>
            <w:r>
              <w:t>Membership</w:t>
            </w:r>
          </w:p>
        </w:tc>
        <w:tc>
          <w:tcPr>
            <w:tcW w:type="dxa" w:w="4680"/>
          </w:tcPr>
          <w:p>
            <w:r>
              <w:t>Required to write/push; lookup alone is not enough</w:t>
            </w:r>
          </w:p>
        </w:tc>
      </w:tr>
      <w:tr>
        <w:tc>
          <w:tcPr>
            <w:tcW w:type="dxa" w:w="4680"/>
          </w:tcPr>
          <w:p>
            <w:r>
              <w:t>Fact Check</w:t>
            </w:r>
          </w:p>
        </w:tc>
        <w:tc>
          <w:tcPr>
            <w:tcW w:type="dxa" w:w="4680"/>
          </w:tcPr>
          <w:p>
            <w:r>
              <w:t>sync_pull → search/list facts before acting</w:t>
            </w:r>
          </w:p>
        </w:tc>
      </w:tr>
    </w:tbl>
    <w:p/>
    <w:p>
      <w:pPr>
        <w:pStyle w:val="Heading1"/>
      </w:pPr>
      <w:r>
        <w:t>Fact lifecycle</w:t>
      </w:r>
    </w:p>
    <w:p>
      <w:r>
        <w:rPr>
          <w:rFonts w:ascii="Arial" w:hAnsi="Arial"/>
          <w:b w:val="0"/>
          <w:sz w:val="22"/>
        </w:rPr>
        <w:t>working / proposed → review → published → supersede or retract</w:t>
      </w:r>
    </w:p>
    <w:p>
      <w:r>
        <w:rPr>
          <w:rFonts w:ascii="Arial" w:hAnsi="Arial"/>
          <w:b w:val="0"/>
          <w:sz w:val="22"/>
        </w:rPr>
        <w:t>Rule: Never treat proposed or working facts as published truth.</w:t>
      </w:r>
    </w:p>
    <w:p>
      <w:pPr>
        <w:pStyle w:val="Heading1"/>
      </w:pPr>
      <w:r>
        <w:t>Resolution order</w:t>
      </w:r>
    </w:p>
    <w:p>
      <w:pPr>
        <w:pStyle w:val="ListBullet"/>
      </w:pPr>
      <w:r>
        <w:rPr>
          <w:rFonts w:ascii="Arial" w:hAnsi="Arial"/>
          <w:sz w:val="22"/>
        </w:rPr>
        <w:t>Exact namespace in your registry</w:t>
      </w:r>
    </w:p>
    <w:p>
      <w:pPr>
        <w:pStyle w:val="ListBullet"/>
      </w:pPr>
      <w:r>
        <w:rPr>
          <w:rFonts w:ascii="Arial" w:hAnsi="Arial"/>
          <w:sz w:val="22"/>
        </w:rPr>
        <w:t>Parent namespaces (implicit dotted hierarchy)</w:t>
      </w:r>
    </w:p>
    <w:p>
      <w:pPr>
        <w:pStyle w:val="ListBullet"/>
      </w:pPr>
      <w:r>
        <w:rPr>
          <w:rFonts w:ascii="Arial" w:hAnsi="Arial"/>
          <w:sz w:val="22"/>
        </w:rPr>
        <w:t>Explicit lookups (published, read-only only)</w:t>
      </w:r>
    </w:p>
    <w:p>
      <w:pPr>
        <w:pStyle w:val="Heading1"/>
      </w:pPr>
      <w:r>
        <w:t>Interfaces by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Role</w:t>
            </w:r>
          </w:p>
        </w:tc>
        <w:tc>
          <w:tcPr>
            <w:tcW w:type="dxa" w:w="4680"/>
          </w:tcPr>
          <w:p>
            <w:r>
              <w:t>Primary tools</w:t>
            </w:r>
          </w:p>
        </w:tc>
      </w:tr>
      <w:tr>
        <w:tc>
          <w:tcPr>
            <w:tcW w:type="dxa" w:w="4680"/>
          </w:tcPr>
          <w:p>
            <w:r>
              <w:t>Developer</w:t>
            </w:r>
          </w:p>
        </w:tc>
        <w:tc>
          <w:tcPr>
            <w:tcW w:type="dxa" w:w="4680"/>
          </w:tcPr>
          <w:p>
            <w:r>
              <w:t>MCP (Cursor/Claude), CLI, API</w:t>
            </w:r>
          </w:p>
        </w:tc>
      </w:tr>
      <w:tr>
        <w:tc>
          <w:tcPr>
            <w:tcW w:type="dxa" w:w="4680"/>
          </w:tcPr>
          <w:p>
            <w:r>
              <w:t>QA / Tester</w:t>
            </w:r>
          </w:p>
        </w:tc>
        <w:tc>
          <w:tcPr>
            <w:tcW w:type="dxa" w:w="4680"/>
          </w:tcPr>
          <w:p>
            <w:r>
              <w:t>Web UI, CLI (read), test plans tied to published facts</w:t>
            </w:r>
          </w:p>
        </w:tc>
      </w:tr>
      <w:tr>
        <w:tc>
          <w:tcPr>
            <w:tcW w:type="dxa" w:w="4680"/>
          </w:tcPr>
          <w:p>
            <w:r>
              <w:t>Product owner</w:t>
            </w:r>
          </w:p>
        </w:tc>
        <w:tc>
          <w:tcPr>
            <w:tcW w:type="dxa" w:w="4680"/>
          </w:tcPr>
          <w:p>
            <w:r>
              <w:t>Review queue, publish/approve, namespace design</w:t>
            </w:r>
          </w:p>
        </w:tc>
      </w:tr>
      <w:tr>
        <w:tc>
          <w:tcPr>
            <w:tcW w:type="dxa" w:w="4680"/>
          </w:tcPr>
          <w:p>
            <w:r>
              <w:t>Business analyst</w:t>
            </w:r>
          </w:p>
        </w:tc>
        <w:tc>
          <w:tcPr>
            <w:tcW w:type="dxa" w:w="4680"/>
          </w:tcPr>
          <w:p>
            <w:r>
              <w:t>Propose facts, document extraction, traceability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