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szCs w:val="20"/>
        </w:rPr>
      </w:pPr>
      <w:r>
        <w:rPr>
          <w:b/>
          <w:sz w:val="20"/>
          <w:szCs w:val="20"/>
          <w:lang w:val="en-US"/>
        </w:rPr>
        <w:t>Project form</w:t>
      </w:r>
    </w:p>
    <w:p>
      <w:pPr>
        <w:pStyle w:val="Normal"/>
        <w:rPr>
          <w:sz w:val="20"/>
          <w:szCs w:val="20"/>
        </w:rPr>
      </w:pPr>
      <w:r>
        <w:rPr>
          <w:sz w:val="20"/>
          <w:szCs w:val="20"/>
          <w:lang w:val="en-US"/>
        </w:rPr>
        <w:t xml:space="preserve">Name supervisors: </w:t>
      </w:r>
    </w:p>
    <w:p>
      <w:pPr>
        <w:pStyle w:val="Normal"/>
        <w:rPr>
          <w:sz w:val="20"/>
          <w:szCs w:val="20"/>
        </w:rPr>
      </w:pPr>
      <w:r>
        <w:rPr>
          <w:sz w:val="20"/>
          <w:szCs w:val="20"/>
        </w:rPr>
        <w:t>Bas Machielsen</w:t>
      </w:r>
    </w:p>
    <w:p>
      <w:pPr>
        <w:pStyle w:val="Normal"/>
        <w:rPr>
          <w:sz w:val="20"/>
          <w:szCs w:val="20"/>
        </w:rPr>
      </w:pPr>
      <w:r>
        <w:rPr>
          <w:sz w:val="20"/>
          <w:szCs w:val="20"/>
          <w:lang w:val="en-US"/>
        </w:rPr>
        <w:t>1.</w:t>
        <w:tab/>
      </w:r>
      <w:r>
        <w:rPr>
          <w:b/>
          <w:bCs/>
          <w:sz w:val="20"/>
          <w:szCs w:val="20"/>
          <w:lang w:val="en-US"/>
        </w:rPr>
        <w:t>Title:</w:t>
      </w:r>
      <w:r>
        <w:rPr>
          <w:sz w:val="20"/>
          <w:szCs w:val="20"/>
          <w:lang w:val="en-US"/>
        </w:rPr>
        <w:t xml:space="preserve"> Historical persistence</w:t>
      </w:r>
    </w:p>
    <w:p>
      <w:pPr>
        <w:pStyle w:val="Normal"/>
        <w:rPr>
          <w:sz w:val="20"/>
          <w:szCs w:val="20"/>
        </w:rPr>
      </w:pPr>
      <w:r>
        <w:rPr>
          <w:sz w:val="20"/>
          <w:szCs w:val="20"/>
          <w:lang w:val="en-US"/>
        </w:rPr>
        <w:t>2.</w:t>
        <w:tab/>
      </w:r>
      <w:r>
        <w:rPr>
          <w:b/>
          <w:bCs/>
          <w:sz w:val="20"/>
          <w:szCs w:val="20"/>
          <w:lang w:val="en-US"/>
        </w:rPr>
        <w:t xml:space="preserve">Subject description (100 – 150 words): </w:t>
      </w:r>
    </w:p>
    <w:p>
      <w:pPr>
        <w:pStyle w:val="Normal"/>
        <w:rPr>
          <w:sz w:val="20"/>
          <w:szCs w:val="20"/>
          <w:lang w:val="en-US"/>
        </w:rPr>
      </w:pPr>
      <w:r>
        <w:rPr>
          <w:sz w:val="20"/>
          <w:szCs w:val="20"/>
          <w:lang w:val="en-US"/>
        </w:rPr>
        <w:t xml:space="preserve">Economic or other outcomes are not only influenced directly by relative prices, costs and benefits. They are also influenced by more latent, long-term factors, often called institutions. These tend to change very slowly, and are often endogenously related to economic outcomes. To identify the influence of these latent factors, economists often use large-scale, influential events that shock these institutions. They compare outcomes in places that were initially similar, but some of them have been coincidentally exposed to certain events, whereas others have not. </w:t>
      </w:r>
    </w:p>
    <w:p>
      <w:pPr>
        <w:pStyle w:val="Normal"/>
        <w:rPr>
          <w:sz w:val="20"/>
          <w:szCs w:val="20"/>
          <w:lang w:val="en-US"/>
        </w:rPr>
      </w:pPr>
      <w:r>
        <w:rPr>
          <w:sz w:val="20"/>
          <w:szCs w:val="20"/>
          <w:lang w:val="en-US"/>
        </w:rPr>
        <w:t xml:space="preserve">I have a couple of datasets that measure the distance to the borders and roads of the Roman Empire. You can build your own data set by linking present day outcomes to this historical exposure, which requires mastery of very modern data science tools.  </w:t>
      </w:r>
    </w:p>
    <w:p>
      <w:pPr>
        <w:pStyle w:val="Normal"/>
        <w:rPr>
          <w:sz w:val="20"/>
          <w:szCs w:val="20"/>
        </w:rPr>
      </w:pPr>
      <w:r>
        <w:rPr>
          <w:sz w:val="20"/>
          <w:szCs w:val="20"/>
          <w:lang w:val="en-US"/>
        </w:rPr>
        <w:t>3.</w:t>
        <w:tab/>
        <w:t xml:space="preserve"> </w:t>
      </w:r>
      <w:r>
        <w:rPr>
          <w:b/>
          <w:bCs/>
          <w:sz w:val="20"/>
          <w:szCs w:val="20"/>
          <w:lang w:val="en-US"/>
        </w:rPr>
        <w:t xml:space="preserve">minor: </w:t>
      </w:r>
      <w:r>
        <w:rPr>
          <w:sz w:val="20"/>
          <w:szCs w:val="20"/>
          <w:lang w:val="en-US"/>
        </w:rPr>
        <w:t>Applied Data Science</w:t>
      </w:r>
    </w:p>
    <w:p>
      <w:pPr>
        <w:pStyle w:val="Normal"/>
        <w:rPr>
          <w:sz w:val="20"/>
          <w:szCs w:val="20"/>
        </w:rPr>
      </w:pPr>
      <w:r>
        <w:rPr>
          <w:sz w:val="20"/>
          <w:szCs w:val="20"/>
          <w:lang w:val="en-US"/>
        </w:rPr>
        <w:t>4.</w:t>
        <w:tab/>
      </w:r>
      <w:r>
        <w:rPr>
          <w:b/>
          <w:bCs/>
          <w:sz w:val="20"/>
          <w:szCs w:val="20"/>
          <w:lang w:val="en-US"/>
        </w:rPr>
        <w:t xml:space="preserve">Type of research/methodology (50 – 100 words): </w:t>
      </w:r>
      <w:r>
        <w:rPr>
          <w:sz w:val="20"/>
          <w:szCs w:val="20"/>
          <w:lang w:val="en-US"/>
        </w:rPr>
        <w:t xml:space="preserve">Usually, this research is based on spatial regression discontinuity designs, comparing places at one side of the border with places at the other side of the border (e.g. Dell, 2010, Lowes and Montero, 2021). There can also be different treatment and control groups, for example, contrasting similar treated and non-treated populations over time (Beach and Hanlon, 2022) in a difference-in-differences set-up. Examples of this last methodology exploit the slave trade in Africa (Nunn and Wantchekon, 2011) and medieval pogroms (Voigtlander and Voth, 2012). </w:t>
      </w:r>
    </w:p>
    <w:p>
      <w:pPr>
        <w:pStyle w:val="Normal"/>
        <w:rPr>
          <w:sz w:val="20"/>
          <w:szCs w:val="20"/>
        </w:rPr>
      </w:pPr>
      <w:r>
        <w:rPr>
          <w:sz w:val="20"/>
          <w:szCs w:val="20"/>
          <w:lang w:val="en-US"/>
        </w:rPr>
        <w:t>5.</w:t>
        <w:tab/>
      </w:r>
      <w:r>
        <w:rPr>
          <w:b/>
          <w:bCs/>
          <w:sz w:val="20"/>
          <w:szCs w:val="20"/>
          <w:lang w:val="en-US"/>
        </w:rPr>
        <w:t>References:</w:t>
      </w:r>
    </w:p>
    <w:p>
      <w:pPr>
        <w:pStyle w:val="Normal"/>
        <w:rPr>
          <w:sz w:val="20"/>
          <w:szCs w:val="20"/>
        </w:rPr>
      </w:pPr>
      <w:r>
        <w:rPr>
          <w:sz w:val="20"/>
          <w:szCs w:val="20"/>
        </w:rPr>
        <w:br/>
        <w:t xml:space="preserve">Beach, B., &amp; Hanlon, W. W. (2022). Culture and the historical fertility transition. </w:t>
      </w:r>
      <w:r>
        <w:rPr>
          <w:i/>
          <w:sz w:val="20"/>
          <w:szCs w:val="20"/>
        </w:rPr>
        <w:t>The Review of Economic Studies</w:t>
      </w:r>
      <w:r>
        <w:rPr>
          <w:sz w:val="20"/>
          <w:szCs w:val="20"/>
        </w:rPr>
        <w:t>.</w:t>
      </w:r>
    </w:p>
    <w:p>
      <w:pPr>
        <w:pStyle w:val="Normal"/>
        <w:rPr>
          <w:sz w:val="20"/>
          <w:szCs w:val="20"/>
        </w:rPr>
      </w:pPr>
      <w:r>
        <w:rPr>
          <w:sz w:val="20"/>
          <w:szCs w:val="20"/>
        </w:rPr>
        <w:br/>
        <w:t xml:space="preserve">Dell, M. (2010). The persistent effects of Peru's mining mita. </w:t>
      </w:r>
      <w:r>
        <w:rPr>
          <w:i/>
          <w:sz w:val="20"/>
          <w:szCs w:val="20"/>
        </w:rPr>
        <w:t>Econometrica</w:t>
      </w:r>
      <w:r>
        <w:rPr>
          <w:sz w:val="20"/>
          <w:szCs w:val="20"/>
        </w:rPr>
        <w:t xml:space="preserve">, </w:t>
      </w:r>
      <w:r>
        <w:rPr>
          <w:i/>
          <w:sz w:val="20"/>
          <w:szCs w:val="20"/>
        </w:rPr>
        <w:t>78</w:t>
      </w:r>
      <w:r>
        <w:rPr>
          <w:sz w:val="20"/>
          <w:szCs w:val="20"/>
        </w:rPr>
        <w:t>(6), 1863-1903.</w:t>
      </w:r>
    </w:p>
    <w:p>
      <w:pPr>
        <w:pStyle w:val="Normal"/>
        <w:rPr>
          <w:sz w:val="20"/>
          <w:szCs w:val="20"/>
        </w:rPr>
      </w:pPr>
      <w:r>
        <w:rPr>
          <w:sz w:val="20"/>
          <w:szCs w:val="20"/>
        </w:rPr>
        <w:br/>
        <w:t xml:space="preserve">Lowes, S., &amp; Montero, E. (2021). Concessions, violence, and indirect rule: evidence from the Congo Free State. </w:t>
      </w:r>
      <w:r>
        <w:rPr>
          <w:i/>
          <w:sz w:val="20"/>
          <w:szCs w:val="20"/>
        </w:rPr>
        <w:t>The Quarterly Journal of Economics</w:t>
      </w:r>
      <w:r>
        <w:rPr>
          <w:sz w:val="20"/>
          <w:szCs w:val="20"/>
        </w:rPr>
        <w:t xml:space="preserve">, </w:t>
      </w:r>
      <w:r>
        <w:rPr>
          <w:i/>
          <w:sz w:val="20"/>
          <w:szCs w:val="20"/>
        </w:rPr>
        <w:t>136</w:t>
      </w:r>
      <w:r>
        <w:rPr>
          <w:sz w:val="20"/>
          <w:szCs w:val="20"/>
        </w:rPr>
        <w:t>(4), 2047-2091.</w:t>
      </w:r>
    </w:p>
    <w:p>
      <w:pPr>
        <w:pStyle w:val="Normal"/>
        <w:rPr>
          <w:sz w:val="20"/>
          <w:szCs w:val="20"/>
        </w:rPr>
      </w:pPr>
      <w:r>
        <w:rPr>
          <w:sz w:val="20"/>
          <w:szCs w:val="20"/>
        </w:rPr>
        <w:br/>
        <w:t xml:space="preserve">Lowes, S. (2022). </w:t>
      </w:r>
      <w:r>
        <w:rPr>
          <w:i/>
          <w:sz w:val="20"/>
          <w:szCs w:val="20"/>
        </w:rPr>
        <w:t>Kinship Structure and the Family: Evidence from the Matrilineal Belt</w:t>
      </w:r>
      <w:r>
        <w:rPr>
          <w:sz w:val="20"/>
          <w:szCs w:val="20"/>
        </w:rPr>
        <w:t xml:space="preserve"> (No. w30509). National Bureau of Economic Research.</w:t>
      </w:r>
    </w:p>
    <w:p>
      <w:pPr>
        <w:pStyle w:val="Normal"/>
        <w:spacing w:before="0" w:after="200"/>
        <w:rPr>
          <w:sz w:val="20"/>
          <w:szCs w:val="20"/>
        </w:rPr>
      </w:pPr>
      <w:r>
        <w:rPr>
          <w:sz w:val="20"/>
          <w:szCs w:val="20"/>
        </w:rPr>
        <w:br/>
        <w:t xml:space="preserve">Voth, H. J. (2021). Persistence–myth and mystery. In </w:t>
      </w:r>
      <w:r>
        <w:rPr>
          <w:i/>
          <w:sz w:val="20"/>
          <w:szCs w:val="20"/>
        </w:rPr>
        <w:t>The handbook of historical economics</w:t>
      </w:r>
      <w:r>
        <w:rPr>
          <w:sz w:val="20"/>
          <w:szCs w:val="20"/>
        </w:rPr>
        <w:t xml:space="preserve"> (pp. 243-267). Academic Press.</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ListParagraph">
    <w:name w:val="List Paragraph"/>
    <w:basedOn w:val="Normal"/>
    <w:uiPriority w:val="34"/>
    <w:qFormat/>
    <w:rsid w:val="00ac5c68"/>
    <w:pPr>
      <w:spacing w:before="0" w:after="200"/>
      <w:ind w:left="720" w:hanging="0"/>
      <w:contextualSpacing/>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 w:type="table" w:styleId="Tabelraster">
    <w:name w:val="Table Grid"/>
    <w:basedOn w:val="Standaardtabel"/>
    <w:uiPriority w:val="59"/>
    <w:rsid w:val="009b3b9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LibreOffice/7.3.7.2$Linux_X86_64 LibreOffice_project/30$Build-2</Application>
  <AppVersion>15.0000</AppVersion>
  <Pages>1</Pages>
  <Words>333</Words>
  <Characters>1896</Characters>
  <CharactersWithSpaces>2227</CharactersWithSpaces>
  <Paragraphs>15</Paragraphs>
  <Company>Utrecht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2022-02-28T16:16:00Z</dcterms:created>
  <dc:creator>Remery, Chantal</dc:creator>
  <dc:description/>
  <dc:language>en-US</dc:language>
  <cp:lastModifiedBy/>
  <dcterms:modified xsi:type="dcterms:W3CDTF">2025-03-10T10:31:33Z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