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b/>
          <w:sz w:val="20"/>
          <w:szCs w:val="20"/>
          <w:lang w:val="en-US"/>
        </w:rPr>
        <w:t>Project form</w:t>
      </w:r>
    </w:p>
    <w:p>
      <w:pPr>
        <w:pStyle w:val="Normal"/>
        <w:rPr>
          <w:sz w:val="20"/>
          <w:szCs w:val="20"/>
        </w:rPr>
      </w:pPr>
      <w:r>
        <w:rPr>
          <w:sz w:val="20"/>
          <w:szCs w:val="20"/>
          <w:lang w:val="en-US"/>
        </w:rPr>
        <w:t xml:space="preserve">Name supervisors: </w:t>
      </w:r>
    </w:p>
    <w:p>
      <w:pPr>
        <w:pStyle w:val="Normal"/>
        <w:rPr>
          <w:sz w:val="20"/>
          <w:szCs w:val="20"/>
        </w:rPr>
      </w:pPr>
      <w:r>
        <w:rPr>
          <w:sz w:val="20"/>
          <w:szCs w:val="20"/>
        </w:rPr>
        <w:t>Bas Machielsen</w:t>
      </w:r>
    </w:p>
    <w:p>
      <w:pPr>
        <w:pStyle w:val="Normal"/>
        <w:rPr>
          <w:sz w:val="20"/>
          <w:szCs w:val="20"/>
        </w:rPr>
      </w:pPr>
      <w:r>
        <w:rPr>
          <w:sz w:val="20"/>
          <w:szCs w:val="20"/>
          <w:lang w:val="en-US"/>
        </w:rPr>
        <w:t>1.</w:t>
        <w:tab/>
      </w:r>
      <w:r>
        <w:rPr>
          <w:b/>
          <w:bCs/>
          <w:sz w:val="20"/>
          <w:szCs w:val="20"/>
          <w:lang w:val="en-US"/>
        </w:rPr>
        <w:t>Title:</w:t>
      </w:r>
      <w:r>
        <w:rPr>
          <w:sz w:val="20"/>
          <w:szCs w:val="20"/>
          <w:lang w:val="en-US"/>
        </w:rPr>
        <w:t xml:space="preserve"> </w:t>
      </w:r>
      <w:r>
        <w:rPr>
          <w:sz w:val="20"/>
          <w:szCs w:val="20"/>
          <w:lang w:val="en-US"/>
        </w:rPr>
        <w:t>Geospatial Economics</w:t>
      </w:r>
    </w:p>
    <w:p>
      <w:pPr>
        <w:pStyle w:val="Normal"/>
        <w:rPr>
          <w:sz w:val="20"/>
          <w:szCs w:val="20"/>
        </w:rPr>
      </w:pPr>
      <w:r>
        <w:rPr>
          <w:sz w:val="20"/>
          <w:szCs w:val="20"/>
          <w:lang w:val="en-US"/>
        </w:rPr>
        <w:t>2.</w:t>
        <w:tab/>
      </w:r>
      <w:r>
        <w:rPr>
          <w:b/>
          <w:bCs/>
          <w:sz w:val="20"/>
          <w:szCs w:val="20"/>
          <w:lang w:val="en-US"/>
        </w:rPr>
        <w:t xml:space="preserve">Subject description (100 – 150 words): </w:t>
      </w:r>
    </w:p>
    <w:p>
      <w:pPr>
        <w:pStyle w:val="Normal"/>
        <w:rPr>
          <w:sz w:val="20"/>
          <w:szCs w:val="20"/>
          <w:lang w:val="en-US"/>
        </w:rPr>
      </w:pPr>
      <w:r>
        <w:rPr>
          <w:sz w:val="20"/>
          <w:szCs w:val="20"/>
          <w:lang w:val="en-US"/>
        </w:rPr>
        <w:t>In economics, many research questions can be answered using geospatial data. For example, questions related to economic development (Beyer et al., 2021; Besley et al., 2022) make frequent use of variation between different geographic units and compare them in aspects such as nightlight density and electricity consumption. Similarly, questions related to environmental economics can also be answered using similar data on the basis of geospatial variation (Castells-Quintana et al., 2021; Felbermayer et al., 2022). This theme will focus on similar research questions with the aim of introducing students to geospatial data wrangling and econometric methods.</w:t>
      </w:r>
    </w:p>
    <w:p>
      <w:pPr>
        <w:pStyle w:val="Normal"/>
        <w:rPr>
          <w:sz w:val="20"/>
          <w:szCs w:val="20"/>
        </w:rPr>
      </w:pPr>
      <w:r>
        <w:rPr>
          <w:sz w:val="20"/>
          <w:szCs w:val="20"/>
          <w:lang w:val="en-US"/>
        </w:rPr>
        <w:t>3.</w:t>
        <w:tab/>
        <w:t xml:space="preserve"> </w:t>
      </w:r>
      <w:r>
        <w:rPr>
          <w:b/>
          <w:bCs/>
          <w:sz w:val="20"/>
          <w:szCs w:val="20"/>
          <w:lang w:val="en-US"/>
        </w:rPr>
        <w:t xml:space="preserve">minor: </w:t>
      </w:r>
      <w:r>
        <w:rPr>
          <w:sz w:val="20"/>
          <w:szCs w:val="20"/>
          <w:lang w:val="en-US"/>
        </w:rPr>
        <w:t>Applied Data Science</w:t>
      </w:r>
    </w:p>
    <w:p>
      <w:pPr>
        <w:pStyle w:val="Normal"/>
        <w:rPr>
          <w:sz w:val="20"/>
          <w:szCs w:val="20"/>
        </w:rPr>
      </w:pPr>
      <w:r>
        <w:rPr>
          <w:sz w:val="20"/>
          <w:szCs w:val="20"/>
          <w:lang w:val="en-US"/>
        </w:rPr>
        <w:t>4.</w:t>
        <w:tab/>
      </w:r>
      <w:r>
        <w:rPr>
          <w:b/>
          <w:bCs/>
          <w:sz w:val="20"/>
          <w:szCs w:val="20"/>
          <w:lang w:val="en-US"/>
        </w:rPr>
        <w:t xml:space="preserve">Type of research/methodology (50 – 100 words): </w:t>
      </w:r>
      <w:r>
        <w:rPr>
          <w:b w:val="false"/>
          <w:bCs w:val="false"/>
          <w:sz w:val="20"/>
          <w:szCs w:val="20"/>
          <w:lang w:val="en-US"/>
        </w:rPr>
        <w:t>The theme will focus on the application of geospatial methods using the spatial features ecosystem in R (</w:t>
      </w:r>
      <w:hyperlink r:id="rId2">
        <w:r>
          <w:rPr>
            <w:rStyle w:val="InternetLink"/>
            <w:b w:val="false"/>
            <w:bCs w:val="false"/>
            <w:sz w:val="20"/>
            <w:szCs w:val="20"/>
            <w:lang w:val="en-US"/>
          </w:rPr>
          <w:t>https://r-spatial.org/book/</w:t>
        </w:r>
      </w:hyperlink>
      <w:r>
        <w:rPr>
          <w:b w:val="false"/>
          <w:bCs w:val="false"/>
          <w:sz w:val="20"/>
          <w:szCs w:val="20"/>
          <w:lang w:val="en-US"/>
        </w:rPr>
        <w:t xml:space="preserve">). However, should the students want to, it is also possible to use the geopandas interface in Python. When econometrically analyzing the data, standard methods such as regression discontinuity or difference-in-differences can be used, but we also attempt to use methods that take into account the spatial nature of the data. </w:t>
      </w:r>
    </w:p>
    <w:p>
      <w:pPr>
        <w:pStyle w:val="Normal"/>
        <w:rPr>
          <w:sz w:val="20"/>
          <w:szCs w:val="20"/>
        </w:rPr>
      </w:pPr>
      <w:r>
        <w:rPr>
          <w:sz w:val="20"/>
          <w:szCs w:val="20"/>
          <w:lang w:val="en-US"/>
        </w:rPr>
        <w:t>5.</w:t>
        <w:tab/>
      </w:r>
      <w:r>
        <w:rPr>
          <w:b/>
          <w:bCs/>
          <w:sz w:val="20"/>
          <w:szCs w:val="20"/>
          <w:lang w:val="en-US"/>
        </w:rPr>
        <w:t>References:</w:t>
      </w:r>
    </w:p>
    <w:p>
      <w:pPr>
        <w:pStyle w:val="Normal"/>
        <w:rPr>
          <w:i w:val="false"/>
          <w:i w:val="false"/>
          <w:iCs w:val="false"/>
        </w:rPr>
      </w:pPr>
      <w:r>
        <w:rPr>
          <w:i w:val="false"/>
          <w:iCs w:val="false"/>
          <w:sz w:val="20"/>
          <w:szCs w:val="20"/>
        </w:rPr>
        <w:t xml:space="preserve">Besley, T., Burgess, R., Khan, A., &amp; Xu, G. (2022). Bureaucracy and development. </w:t>
      </w:r>
      <w:r>
        <w:rPr>
          <w:i/>
          <w:iCs w:val="false"/>
          <w:sz w:val="20"/>
          <w:szCs w:val="20"/>
        </w:rPr>
        <w:t>Annual Review of Economics</w:t>
      </w:r>
      <w:r>
        <w:rPr>
          <w:i w:val="false"/>
          <w:iCs w:val="false"/>
          <w:sz w:val="20"/>
          <w:szCs w:val="20"/>
        </w:rPr>
        <w:t xml:space="preserve">, </w:t>
      </w:r>
      <w:r>
        <w:rPr>
          <w:i/>
          <w:iCs w:val="false"/>
          <w:sz w:val="20"/>
          <w:szCs w:val="20"/>
        </w:rPr>
        <w:t>14</w:t>
      </w:r>
      <w:r>
        <w:rPr>
          <w:i w:val="false"/>
          <w:iCs w:val="false"/>
          <w:sz w:val="20"/>
          <w:szCs w:val="20"/>
        </w:rPr>
        <w:t>(1), 397-424.</w:t>
      </w:r>
    </w:p>
    <w:p>
      <w:pPr>
        <w:pStyle w:val="Normal"/>
        <w:rPr>
          <w:i w:val="false"/>
          <w:i w:val="false"/>
          <w:iCs w:val="false"/>
          <w:sz w:val="20"/>
          <w:szCs w:val="20"/>
        </w:rPr>
      </w:pPr>
      <w:r>
        <w:rPr>
          <w:i w:val="false"/>
          <w:iCs w:val="false"/>
          <w:sz w:val="20"/>
          <w:szCs w:val="20"/>
        </w:rPr>
        <w:t xml:space="preserve">Beyer, R. C., Franco-Bedoya, S., &amp; Galdo, V. (2021). Examining the economic impact of COVID-19 in India through daily electricity consumption and nighttime light intensity. </w:t>
      </w:r>
      <w:r>
        <w:rPr>
          <w:i/>
          <w:iCs w:val="false"/>
          <w:sz w:val="20"/>
          <w:szCs w:val="20"/>
        </w:rPr>
        <w:t>World Development</w:t>
      </w:r>
      <w:r>
        <w:rPr>
          <w:i w:val="false"/>
          <w:iCs w:val="false"/>
          <w:sz w:val="20"/>
          <w:szCs w:val="20"/>
        </w:rPr>
        <w:t xml:space="preserve">, </w:t>
      </w:r>
      <w:r>
        <w:rPr>
          <w:i/>
          <w:iCs w:val="false"/>
          <w:sz w:val="20"/>
          <w:szCs w:val="20"/>
        </w:rPr>
        <w:t>140</w:t>
      </w:r>
      <w:r>
        <w:rPr>
          <w:i w:val="false"/>
          <w:iCs w:val="false"/>
          <w:sz w:val="20"/>
          <w:szCs w:val="20"/>
        </w:rPr>
        <w:t>, 105287.</w:t>
      </w:r>
    </w:p>
    <w:p>
      <w:pPr>
        <w:pStyle w:val="Normal"/>
        <w:rPr>
          <w:i w:val="false"/>
          <w:i w:val="false"/>
          <w:iCs w:val="false"/>
          <w:sz w:val="20"/>
          <w:szCs w:val="20"/>
        </w:rPr>
      </w:pPr>
      <w:r>
        <w:rPr>
          <w:i w:val="false"/>
          <w:iCs w:val="false"/>
          <w:sz w:val="20"/>
          <w:szCs w:val="20"/>
        </w:rPr>
        <w:t>Donaldson, D., &amp; Storeygard, A. (2016). The view from above: Applications of satellite data in economics. Journal of Economic Perspectives, 30(4), 171-198.</w:t>
      </w:r>
    </w:p>
    <w:p>
      <w:pPr>
        <w:pStyle w:val="Normal"/>
        <w:rPr>
          <w:i w:val="false"/>
          <w:i w:val="false"/>
          <w:iCs w:val="false"/>
          <w:sz w:val="20"/>
          <w:szCs w:val="20"/>
        </w:rPr>
      </w:pPr>
      <w:r>
        <w:rPr>
          <w:i w:val="false"/>
          <w:iCs w:val="false"/>
          <w:sz w:val="20"/>
          <w:szCs w:val="20"/>
        </w:rPr>
        <w:t xml:space="preserve">Castells-Quintana, D., Dienesch, E., &amp; Krause, M. (2021). Air pollution in an urban world: A global view on density, cities and emissions. </w:t>
      </w:r>
      <w:r>
        <w:rPr>
          <w:i/>
          <w:iCs w:val="false"/>
          <w:sz w:val="20"/>
          <w:szCs w:val="20"/>
        </w:rPr>
        <w:t>Ecological Economics</w:t>
      </w:r>
      <w:r>
        <w:rPr>
          <w:i w:val="false"/>
          <w:iCs w:val="false"/>
          <w:sz w:val="20"/>
          <w:szCs w:val="20"/>
        </w:rPr>
        <w:t xml:space="preserve">, </w:t>
      </w:r>
      <w:r>
        <w:rPr>
          <w:i/>
          <w:iCs w:val="false"/>
          <w:sz w:val="20"/>
          <w:szCs w:val="20"/>
        </w:rPr>
        <w:t>189</w:t>
      </w:r>
      <w:r>
        <w:rPr>
          <w:i w:val="false"/>
          <w:iCs w:val="false"/>
          <w:sz w:val="20"/>
          <w:szCs w:val="20"/>
        </w:rPr>
        <w:t>, 107153.</w:t>
      </w:r>
    </w:p>
    <w:p>
      <w:pPr>
        <w:pStyle w:val="Normal"/>
        <w:rPr>
          <w:i w:val="false"/>
          <w:i w:val="false"/>
          <w:iCs w:val="false"/>
          <w:sz w:val="20"/>
          <w:szCs w:val="20"/>
        </w:rPr>
      </w:pPr>
      <w:r>
        <w:rPr>
          <w:i w:val="false"/>
          <w:iCs w:val="false"/>
          <w:sz w:val="20"/>
          <w:szCs w:val="20"/>
        </w:rPr>
        <w:t xml:space="preserve">Felbermayr, G., Gröschl, J., Sanders, M., Schippers, V., &amp; Steinwachs, T. (2022). The economic impact of weather anomalies. </w:t>
      </w:r>
      <w:r>
        <w:rPr>
          <w:i/>
          <w:iCs w:val="false"/>
          <w:sz w:val="20"/>
          <w:szCs w:val="20"/>
        </w:rPr>
        <w:t>World Development</w:t>
      </w:r>
      <w:r>
        <w:rPr>
          <w:i w:val="false"/>
          <w:iCs w:val="false"/>
          <w:sz w:val="20"/>
          <w:szCs w:val="20"/>
        </w:rPr>
        <w:t xml:space="preserve">, </w:t>
      </w:r>
      <w:r>
        <w:rPr>
          <w:i/>
          <w:iCs w:val="false"/>
          <w:sz w:val="20"/>
          <w:szCs w:val="20"/>
        </w:rPr>
        <w:t>151</w:t>
      </w:r>
      <w:r>
        <w:rPr>
          <w:i w:val="false"/>
          <w:iCs w:val="false"/>
          <w:sz w:val="20"/>
          <w:szCs w:val="20"/>
        </w:rPr>
        <w:t>, 105745.</w:t>
      </w:r>
    </w:p>
    <w:p>
      <w:pPr>
        <w:pStyle w:val="Normal"/>
        <w:rPr>
          <w:i w:val="false"/>
          <w:i w:val="false"/>
          <w:iCs w:val="false"/>
          <w:sz w:val="20"/>
          <w:szCs w:val="20"/>
        </w:rPr>
      </w:pPr>
      <w:r>
        <w:rPr>
          <w:i w:val="false"/>
          <w:iCs w:val="false"/>
          <w:sz w:val="20"/>
          <w:szCs w:val="20"/>
        </w:rPr>
      </w:r>
    </w:p>
    <w:p>
      <w:pPr>
        <w:pStyle w:val="Normal"/>
        <w:spacing w:before="0" w:after="200"/>
        <w:rPr>
          <w:i w:val="false"/>
          <w:i w:val="false"/>
          <w:iCs w:val="false"/>
          <w:sz w:val="20"/>
          <w:szCs w:val="20"/>
        </w:rPr>
      </w:pPr>
      <w:r>
        <w:rPr>
          <w:i w:val="false"/>
          <w:iCs w:val="false"/>
          <w:sz w:val="20"/>
          <w:szCs w:val="20"/>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9b292c"/>
    <w:rPr>
      <w:color w:val="0000FF" w:themeColor="hyperlink"/>
      <w:u w:val="single"/>
    </w:rPr>
  </w:style>
  <w:style w:type="character" w:styleId="UnresolvedMention">
    <w:name w:val="Unresolved Mention"/>
    <w:basedOn w:val="DefaultParagraphFont"/>
    <w:uiPriority w:val="99"/>
    <w:semiHidden/>
    <w:unhideWhenUsed/>
    <w:qFormat/>
    <w:rsid w:val="009b292c"/>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c5c68"/>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b3b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spatial.org/book/"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3910FE8DA624AA6C72CC71870AB82" ma:contentTypeVersion="4" ma:contentTypeDescription="Create a new document." ma:contentTypeScope="" ma:versionID="3deafbfba5ac49b05534bf55e5f07376">
  <xsd:schema xmlns:xsd="http://www.w3.org/2001/XMLSchema" xmlns:xs="http://www.w3.org/2001/XMLSchema" xmlns:p="http://schemas.microsoft.com/office/2006/metadata/properties" xmlns:ns2="f9c77b42-c4e5-4b6e-88fc-725114433158" targetNamespace="http://schemas.microsoft.com/office/2006/metadata/properties" ma:root="true" ma:fieldsID="4050ab17582070e1c81e76b6d7de2646" ns2:_="">
    <xsd:import namespace="f9c77b42-c4e5-4b6e-88fc-7251144331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c77b42-c4e5-4b6e-88fc-725114433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0FFF2-CC2E-46F9-84C1-9D015B84EA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2F660A-5E88-4460-A566-F85700763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c77b42-c4e5-4b6e-88fc-7251144331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7F74F0-0014-41DE-97E7-D8D1ABCA88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Application>LibreOffice/7.3.7.2$Linux_X86_64 LibreOffice_project/30$Build-2</Application>
  <AppVersion>15.0000</AppVersion>
  <Pages>1</Pages>
  <Words>311</Words>
  <Characters>1836</Characters>
  <CharactersWithSpaces>2139</CharactersWithSpaces>
  <Paragraphs>14</Paragraphs>
  <Company>Utrecht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2025-01-27T13:31:00Z</dcterms:created>
  <dc:creator>Remery, Chantal</dc:creator>
  <dc:description/>
  <dc:language>en-US</dc:language>
  <cp:lastModifiedBy/>
  <dcterms:modified xsi:type="dcterms:W3CDTF">2025-03-10T11:49:17Z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0x01010064B3910FE8DA624AA6C72CC71870AB82</vt:lpwstr>
  </property>
</Properties>
</file>