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FC954" w14:textId="1AC64122" w:rsidR="0030285C" w:rsidRDefault="008463DC">
      <w:pPr>
        <w:rPr>
          <w:b/>
          <w:bCs/>
          <w:lang w:val="nl-NL"/>
        </w:rPr>
      </w:pPr>
      <w:r>
        <w:rPr>
          <w:b/>
          <w:bCs/>
          <w:lang w:val="nl-NL"/>
        </w:rPr>
        <w:t xml:space="preserve">Ferdinand </w:t>
      </w:r>
      <w:r w:rsidR="00E06AF0">
        <w:rPr>
          <w:b/>
          <w:bCs/>
          <w:lang w:val="nl-NL"/>
        </w:rPr>
        <w:t>Domela Nieuwenhuis</w:t>
      </w:r>
    </w:p>
    <w:p w14:paraId="48C7243E" w14:textId="42BD6A53" w:rsidR="00392FEC" w:rsidRDefault="00392FEC">
      <w:pPr>
        <w:rPr>
          <w:b/>
          <w:bCs/>
          <w:lang w:val="nl-NL"/>
        </w:rPr>
      </w:pPr>
    </w:p>
    <w:p w14:paraId="77A4DC19" w14:textId="7DD48839" w:rsidR="00392FEC" w:rsidRDefault="00392FEC">
      <w:pPr>
        <w:rPr>
          <w:b/>
          <w:bCs/>
          <w:lang w:val="nl-NL"/>
        </w:rPr>
      </w:pPr>
      <w:r>
        <w:rPr>
          <w:b/>
          <w:bCs/>
          <w:lang w:val="nl-NL"/>
        </w:rPr>
        <w:t>Biografie</w:t>
      </w:r>
    </w:p>
    <w:p w14:paraId="40CF0C6E" w14:textId="30F91E28" w:rsidR="00AB735B" w:rsidRDefault="007C4F39">
      <w:pPr>
        <w:rPr>
          <w:lang w:val="nl-NL"/>
        </w:rPr>
      </w:pPr>
      <w:r>
        <w:rPr>
          <w:lang w:val="nl-NL"/>
        </w:rPr>
        <w:t>Nieuwenhuis werd geboren in Amsterdam (1846). Zijn vader, Ferdinand Jacobus Domela Nieuwenhuis, was hoogleraar en predikant aan het Evangelisch-Luthers Seminarium te Amsterdam.</w:t>
      </w:r>
      <w:r w:rsidR="00AD0694">
        <w:rPr>
          <w:rStyle w:val="Voetnootmarkering"/>
          <w:lang w:val="nl-NL"/>
        </w:rPr>
        <w:footnoteReference w:id="1"/>
      </w:r>
    </w:p>
    <w:p w14:paraId="484A5E98" w14:textId="594813EF" w:rsidR="008463DC" w:rsidRDefault="008463DC">
      <w:pPr>
        <w:rPr>
          <w:lang w:val="nl-NL"/>
        </w:rPr>
      </w:pPr>
      <w:r>
        <w:rPr>
          <w:lang w:val="nl-NL"/>
        </w:rPr>
        <w:t>Vader Nieuwenhuis behoorde tot de gegoede burgerij, en stond sympathiek tegenover Thorbecke.</w:t>
      </w:r>
      <w:r w:rsidR="00AD0694">
        <w:rPr>
          <w:rStyle w:val="Voetnootmarkering"/>
          <w:lang w:val="nl-NL"/>
        </w:rPr>
        <w:footnoteReference w:id="2"/>
      </w:r>
      <w:r>
        <w:rPr>
          <w:lang w:val="nl-NL"/>
        </w:rPr>
        <w:t xml:space="preserve"> De familie had een tak in Denemarken (</w:t>
      </w:r>
      <w:proofErr w:type="spellStart"/>
      <w:r>
        <w:rPr>
          <w:lang w:val="nl-NL"/>
        </w:rPr>
        <w:t>Nyegaard</w:t>
      </w:r>
      <w:proofErr w:type="spellEnd"/>
      <w:r>
        <w:rPr>
          <w:lang w:val="nl-NL"/>
        </w:rPr>
        <w:t>), en de halfbroers van vader Nieuwenhuis waren alle vier jurist – Coenraad werkte zich op tot raadsheer bij het gerechtshof van Utrecht, Hendrik ‘behoorde tot de zeer rijken’.</w:t>
      </w:r>
      <w:r w:rsidR="00AD0694">
        <w:rPr>
          <w:rStyle w:val="Voetnootmarkering"/>
          <w:lang w:val="nl-NL"/>
        </w:rPr>
        <w:footnoteReference w:id="3"/>
      </w:r>
      <w:r w:rsidR="00C64FCB">
        <w:rPr>
          <w:lang w:val="nl-NL"/>
        </w:rPr>
        <w:t xml:space="preserve"> </w:t>
      </w:r>
      <w:r w:rsidR="00152BFE">
        <w:rPr>
          <w:lang w:val="nl-NL"/>
        </w:rPr>
        <w:t xml:space="preserve">Hij doorliep zijn schooltijd bij het </w:t>
      </w:r>
      <w:proofErr w:type="spellStart"/>
      <w:r w:rsidR="00152BFE">
        <w:rPr>
          <w:lang w:val="nl-NL"/>
        </w:rPr>
        <w:t>Amsterdamsch</w:t>
      </w:r>
      <w:proofErr w:type="spellEnd"/>
      <w:r w:rsidR="00152BFE">
        <w:rPr>
          <w:lang w:val="nl-NL"/>
        </w:rPr>
        <w:t xml:space="preserve"> Gymnasium.</w:t>
      </w:r>
      <w:r w:rsidR="00BD1AF9">
        <w:rPr>
          <w:rStyle w:val="Voetnootmarkering"/>
          <w:lang w:val="nl-NL"/>
        </w:rPr>
        <w:footnoteReference w:id="4"/>
      </w:r>
    </w:p>
    <w:p w14:paraId="0FA6DDF8" w14:textId="0E320095" w:rsidR="00B92D44" w:rsidRDefault="00B92D44">
      <w:pPr>
        <w:rPr>
          <w:lang w:val="nl-NL"/>
        </w:rPr>
      </w:pPr>
      <w:r>
        <w:rPr>
          <w:lang w:val="nl-NL"/>
        </w:rPr>
        <w:t>Waar zijn andere broers geen toekomst zochten in het geloof (broer Francis veroorzaakte zelfs huiselijke oproer zijn geloof te verliezen)</w:t>
      </w:r>
      <w:r w:rsidR="00CE75C9">
        <w:rPr>
          <w:lang w:val="nl-NL"/>
        </w:rPr>
        <w:t>, was Nieuwenhuis vastberaden aan de verwachtingen van zijn vader te voldoen en dominee te worden.</w:t>
      </w:r>
      <w:r w:rsidR="00BD1AF9">
        <w:rPr>
          <w:rStyle w:val="Voetnootmarkering"/>
          <w:lang w:val="nl-NL"/>
        </w:rPr>
        <w:footnoteReference w:id="5"/>
      </w:r>
    </w:p>
    <w:p w14:paraId="6FCF84A4" w14:textId="4A2A9ACA" w:rsidR="00080A98" w:rsidRDefault="00080A98">
      <w:pPr>
        <w:rPr>
          <w:lang w:val="nl-NL"/>
        </w:rPr>
      </w:pPr>
      <w:r>
        <w:rPr>
          <w:lang w:val="nl-NL"/>
        </w:rPr>
        <w:t xml:space="preserve">Hij ging studeren aan het Evangelisch-Luthers Seminarium en het </w:t>
      </w:r>
      <w:proofErr w:type="spellStart"/>
      <w:r>
        <w:rPr>
          <w:lang w:val="nl-NL"/>
        </w:rPr>
        <w:t>Athenaeum</w:t>
      </w:r>
      <w:proofErr w:type="spellEnd"/>
      <w:r>
        <w:rPr>
          <w:lang w:val="nl-NL"/>
        </w:rPr>
        <w:t xml:space="preserve"> </w:t>
      </w:r>
      <w:proofErr w:type="spellStart"/>
      <w:r>
        <w:rPr>
          <w:lang w:val="nl-NL"/>
        </w:rPr>
        <w:t>Illustre</w:t>
      </w:r>
      <w:proofErr w:type="spellEnd"/>
      <w:r>
        <w:rPr>
          <w:lang w:val="nl-NL"/>
        </w:rPr>
        <w:t xml:space="preserve"> (voorloper gemeentelijke universiteit).</w:t>
      </w:r>
      <w:r w:rsidR="00BD1AF9">
        <w:rPr>
          <w:rStyle w:val="Voetnootmarkering"/>
          <w:lang w:val="nl-NL"/>
        </w:rPr>
        <w:footnoteReference w:id="6"/>
      </w:r>
      <w:r>
        <w:rPr>
          <w:lang w:val="nl-NL"/>
        </w:rPr>
        <w:t xml:space="preserve"> Tijdens het studeren </w:t>
      </w:r>
      <w:r w:rsidR="00ED252F">
        <w:rPr>
          <w:lang w:val="nl-NL"/>
        </w:rPr>
        <w:t xml:space="preserve">kwam Nieuwenhuis in een geloofscrisis terecht, een tijd van grote twijfel. </w:t>
      </w:r>
      <w:r w:rsidR="00377D76">
        <w:rPr>
          <w:lang w:val="nl-NL"/>
        </w:rPr>
        <w:t>Tussen geschriften, en familieleden en kennissen, werd hij door meer orthodoxe en meer vrijzinnige opvattingen omringd.</w:t>
      </w:r>
      <w:r w:rsidR="00D74644">
        <w:rPr>
          <w:lang w:val="nl-NL"/>
        </w:rPr>
        <w:t xml:space="preserve"> Bij het afstuderen 1868 had hij zich aangesloten bij de kleinere modernistische school.</w:t>
      </w:r>
      <w:r w:rsidR="00BD1AF9">
        <w:rPr>
          <w:rStyle w:val="Voetnootmarkering"/>
          <w:lang w:val="nl-NL"/>
        </w:rPr>
        <w:footnoteReference w:id="7"/>
      </w:r>
    </w:p>
    <w:p w14:paraId="59FC9012" w14:textId="094372ED" w:rsidR="001C2293" w:rsidRDefault="00C81CC0" w:rsidP="001C2293">
      <w:pPr>
        <w:rPr>
          <w:lang w:val="nl-NL"/>
        </w:rPr>
      </w:pPr>
      <w:r>
        <w:rPr>
          <w:lang w:val="nl-NL"/>
        </w:rPr>
        <w:t>Nieuwenhuis had een onrustige persoonlijkheid; van nature emotioneel, lichtgeraakt en driftig.</w:t>
      </w:r>
      <w:r>
        <w:rPr>
          <w:rStyle w:val="Voetnootmarkering"/>
          <w:lang w:val="nl-NL"/>
        </w:rPr>
        <w:footnoteReference w:id="8"/>
      </w:r>
      <w:r>
        <w:rPr>
          <w:lang w:val="nl-NL"/>
        </w:rPr>
        <w:t xml:space="preserve"> Hij stond ook bekend als zeer charismatisch. Hij is zelfs omschreven als bovenmenselijk, als een soort profeet.</w:t>
      </w:r>
      <w:r>
        <w:rPr>
          <w:rStyle w:val="Voetnootmarkering"/>
          <w:lang w:val="nl-NL"/>
        </w:rPr>
        <w:footnoteReference w:id="9"/>
      </w:r>
      <w:r>
        <w:rPr>
          <w:lang w:val="nl-NL"/>
        </w:rPr>
        <w:t xml:space="preserve"> </w:t>
      </w:r>
      <w:r w:rsidR="001C2293">
        <w:rPr>
          <w:lang w:val="nl-NL"/>
        </w:rPr>
        <w:t>Zijn emotionele karakter liet hij echter weinig naar buiten treden; zijn zelfbeheersing was opmerkzaam.</w:t>
      </w:r>
      <w:r w:rsidR="001C2293">
        <w:rPr>
          <w:rStyle w:val="Voetnootmarkering"/>
          <w:lang w:val="nl-NL"/>
        </w:rPr>
        <w:footnoteReference w:id="10"/>
      </w:r>
    </w:p>
    <w:p w14:paraId="5F81138B" w14:textId="492FF3E8" w:rsidR="00C81CC0" w:rsidRDefault="00C81CC0">
      <w:pPr>
        <w:rPr>
          <w:lang w:val="nl-NL"/>
        </w:rPr>
      </w:pPr>
    </w:p>
    <w:p w14:paraId="5613B339" w14:textId="35A1CAE8" w:rsidR="00196FB4" w:rsidRDefault="00327823">
      <w:pPr>
        <w:rPr>
          <w:lang w:val="nl-NL"/>
        </w:rPr>
      </w:pPr>
      <w:r>
        <w:rPr>
          <w:lang w:val="nl-NL"/>
        </w:rPr>
        <w:t>Zijn fortuin keerde in 1873. Zijn geliefde overleed en hij kwam in zware financiële problemen.</w:t>
      </w:r>
      <w:r w:rsidR="002A7759">
        <w:rPr>
          <w:lang w:val="nl-NL"/>
        </w:rPr>
        <w:t xml:space="preserve"> Als gevolg wijdde hij zich volledig toe aan zijn werk. Behorende tot de taken was in groeiende mate het schrijven voor tijdschriften en weekbladen, waarin een solidaire, maatschappelijk betrokken en pacifistische agenda uit voortkwam.</w:t>
      </w:r>
      <w:r w:rsidR="00BD1AF9">
        <w:rPr>
          <w:rStyle w:val="Voetnootmarkering"/>
          <w:lang w:val="nl-NL"/>
        </w:rPr>
        <w:footnoteReference w:id="11"/>
      </w:r>
      <w:r w:rsidR="00C64FCB">
        <w:rPr>
          <w:lang w:val="nl-NL"/>
        </w:rPr>
        <w:t xml:space="preserve"> </w:t>
      </w:r>
      <w:r w:rsidR="00196FB4">
        <w:rPr>
          <w:lang w:val="nl-NL"/>
        </w:rPr>
        <w:t>Via zijn geloofsommezwaai (de aanhangers van het pantheïsme) kwam hij in contact met het Duitse socialisme</w:t>
      </w:r>
      <w:r w:rsidR="002A55B1">
        <w:rPr>
          <w:lang w:val="nl-NL"/>
        </w:rPr>
        <w:t>, vanaf een reis naar Magdeburg in mei 1877.</w:t>
      </w:r>
      <w:r w:rsidR="00BD1AF9">
        <w:rPr>
          <w:rStyle w:val="Voetnootmarkering"/>
          <w:lang w:val="nl-NL"/>
        </w:rPr>
        <w:footnoteReference w:id="12"/>
      </w:r>
    </w:p>
    <w:p w14:paraId="24FD99C6" w14:textId="4AB4181C" w:rsidR="002A55B1" w:rsidRDefault="00F92E9C">
      <w:pPr>
        <w:rPr>
          <w:lang w:val="nl-NL"/>
        </w:rPr>
      </w:pPr>
      <w:r>
        <w:rPr>
          <w:lang w:val="nl-NL"/>
        </w:rPr>
        <w:lastRenderedPageBreak/>
        <w:t xml:space="preserve">Toen hij 32 was: </w:t>
      </w:r>
      <w:r w:rsidR="009329C3">
        <w:rPr>
          <w:lang w:val="nl-NL"/>
        </w:rPr>
        <w:t>‘Hij had het geloof in orthodoxie, modernisme, pantheïsme, liberalisme en tot twee maal toe zijn vrouw verloren, was eenzaam achtergebleven, gedrukt door zorgen om jonge, moederloze kinderen. Maar hij had een nieuwe geloof gevonden in het socialisme (…)’</w:t>
      </w:r>
      <w:r w:rsidR="00BD1AF9">
        <w:rPr>
          <w:rStyle w:val="Voetnootmarkering"/>
          <w:lang w:val="nl-NL"/>
        </w:rPr>
        <w:footnoteReference w:id="13"/>
      </w:r>
    </w:p>
    <w:p w14:paraId="7F2241DE" w14:textId="755D9C76" w:rsidR="00C64FCB" w:rsidRDefault="00C64FCB" w:rsidP="00C64FCB">
      <w:pPr>
        <w:rPr>
          <w:lang w:val="nl-NL"/>
        </w:rPr>
      </w:pPr>
      <w:r>
        <w:rPr>
          <w:lang w:val="nl-NL"/>
        </w:rPr>
        <w:t xml:space="preserve">In 1884 moest Nieuwenhuis verschijnen voor de rechter. In zijn blad, </w:t>
      </w:r>
      <w:r>
        <w:rPr>
          <w:i/>
          <w:iCs/>
          <w:lang w:val="nl-NL"/>
        </w:rPr>
        <w:t>Recht voor Allen</w:t>
      </w:r>
      <w:r>
        <w:rPr>
          <w:lang w:val="nl-NL"/>
        </w:rPr>
        <w:t xml:space="preserve">, had hij een vertaalde zin uit </w:t>
      </w:r>
      <w:r>
        <w:rPr>
          <w:i/>
          <w:iCs/>
          <w:lang w:val="nl-NL"/>
        </w:rPr>
        <w:t xml:space="preserve">De Wevers </w:t>
      </w:r>
      <w:r>
        <w:rPr>
          <w:lang w:val="nl-NL"/>
        </w:rPr>
        <w:t>van Heine geplaatst: ‘Gevloekt zij de koning, de koning der rijken’.</w:t>
      </w:r>
      <w:r>
        <w:rPr>
          <w:rStyle w:val="Voetnootmarkering"/>
          <w:lang w:val="nl-NL"/>
        </w:rPr>
        <w:footnoteReference w:id="14"/>
      </w:r>
      <w:r>
        <w:rPr>
          <w:lang w:val="nl-NL"/>
        </w:rPr>
        <w:t xml:space="preserve"> In 1885 bereikte de economische crisis een nieuwe hoogtepunt, met als gevolg dat de oplagen van </w:t>
      </w:r>
      <w:r>
        <w:rPr>
          <w:i/>
          <w:iCs/>
          <w:lang w:val="nl-NL"/>
        </w:rPr>
        <w:t xml:space="preserve">Recht voor Allen </w:t>
      </w:r>
      <w:r>
        <w:rPr>
          <w:lang w:val="nl-NL"/>
        </w:rPr>
        <w:t>groeiden, evenals de roep om algemeen kiesrecht.</w:t>
      </w:r>
      <w:r>
        <w:rPr>
          <w:rStyle w:val="Voetnootmarkering"/>
          <w:lang w:val="nl-NL"/>
        </w:rPr>
        <w:footnoteReference w:id="15"/>
      </w:r>
    </w:p>
    <w:p w14:paraId="00C493B9" w14:textId="02A1BCC0" w:rsidR="00C64FCB" w:rsidRDefault="00C64FCB">
      <w:pPr>
        <w:rPr>
          <w:lang w:val="nl-NL"/>
        </w:rPr>
      </w:pPr>
      <w:r>
        <w:rPr>
          <w:lang w:val="nl-NL"/>
        </w:rPr>
        <w:t xml:space="preserve">Zijn persoon en zijn blad richtten zich voornamelijk tegen de koning en de zogenaamde oranjemythe, waarvoor hij zelfs een gevangenisstraf heeft uitgezeten. </w:t>
      </w:r>
    </w:p>
    <w:p w14:paraId="078521E4" w14:textId="1971CC2C" w:rsidR="00C64FCB" w:rsidRDefault="00C64FCB">
      <w:pPr>
        <w:rPr>
          <w:lang w:val="nl-NL"/>
        </w:rPr>
      </w:pPr>
    </w:p>
    <w:p w14:paraId="3DB26B22" w14:textId="56B99C46" w:rsidR="00C64FCB" w:rsidRPr="00C64FCB" w:rsidRDefault="00C64FCB">
      <w:pPr>
        <w:rPr>
          <w:b/>
          <w:bCs/>
          <w:lang w:val="nl-NL"/>
        </w:rPr>
      </w:pPr>
      <w:r>
        <w:rPr>
          <w:b/>
          <w:bCs/>
          <w:lang w:val="nl-NL"/>
        </w:rPr>
        <w:t>De Tweede Kamer</w:t>
      </w:r>
    </w:p>
    <w:p w14:paraId="6C08AA8C" w14:textId="385CFBBF" w:rsidR="00BE6515" w:rsidRDefault="009536F2">
      <w:pPr>
        <w:rPr>
          <w:lang w:val="nl-NL"/>
        </w:rPr>
      </w:pPr>
      <w:r>
        <w:rPr>
          <w:lang w:val="nl-NL"/>
        </w:rPr>
        <w:t>Op 20 maart 1888 werd Nieuwenhuis gekozen tot lid van de Tweede Kamer.</w:t>
      </w:r>
      <w:r w:rsidR="005039A4">
        <w:rPr>
          <w:lang w:val="nl-NL"/>
        </w:rPr>
        <w:t xml:space="preserve"> </w:t>
      </w:r>
      <w:r w:rsidR="00BE6515">
        <w:rPr>
          <w:lang w:val="nl-NL"/>
        </w:rPr>
        <w:t xml:space="preserve">Opvallend genoeg vocht hij de kiesstrijd in </w:t>
      </w:r>
      <w:proofErr w:type="spellStart"/>
      <w:r w:rsidR="00BE6515">
        <w:rPr>
          <w:lang w:val="nl-NL"/>
        </w:rPr>
        <w:t>Schoterland</w:t>
      </w:r>
      <w:proofErr w:type="spellEnd"/>
      <w:r w:rsidR="00BE6515">
        <w:rPr>
          <w:lang w:val="nl-NL"/>
        </w:rPr>
        <w:t xml:space="preserve"> (Friesland) uit tegen Heldt! Deels kwam dit door de </w:t>
      </w:r>
      <w:proofErr w:type="spellStart"/>
      <w:r w:rsidR="00BE6515">
        <w:rPr>
          <w:lang w:val="nl-NL"/>
        </w:rPr>
        <w:t>grondswetsherziening</w:t>
      </w:r>
      <w:proofErr w:type="spellEnd"/>
      <w:r w:rsidR="00BE6515">
        <w:rPr>
          <w:lang w:val="nl-NL"/>
        </w:rPr>
        <w:t xml:space="preserve"> van 1887, waardoor de kiesdrempel werd verlaagd. Een tweede verklaring is de steun van de antirevolutionairen (afgevallen in de eerste stemronde), die zich middels </w:t>
      </w:r>
      <w:r w:rsidR="00BE6515">
        <w:rPr>
          <w:i/>
          <w:iCs/>
          <w:lang w:val="nl-NL"/>
        </w:rPr>
        <w:t>De Standaard</w:t>
      </w:r>
      <w:r w:rsidR="00BE6515">
        <w:rPr>
          <w:lang w:val="nl-NL"/>
        </w:rPr>
        <w:t xml:space="preserve"> uitspraken voor Nieuwenhuis vanwege zijn positie m.b.t. de schoolstrijd.</w:t>
      </w:r>
      <w:r w:rsidR="005039A4">
        <w:rPr>
          <w:rStyle w:val="Voetnootmarkering"/>
          <w:lang w:val="nl-NL"/>
        </w:rPr>
        <w:footnoteReference w:id="16"/>
      </w:r>
    </w:p>
    <w:p w14:paraId="0343DAB8" w14:textId="7C08A5AA" w:rsidR="00BE6515" w:rsidRDefault="003165D9">
      <w:pPr>
        <w:rPr>
          <w:lang w:val="nl-NL"/>
        </w:rPr>
      </w:pPr>
      <w:r>
        <w:rPr>
          <w:lang w:val="nl-NL"/>
        </w:rPr>
        <w:t>Als parlementariër verraste hij door juist niet als wilde, geagiteerde spreken radicale voorstellen te doen. Hij diende juist veel ‘gematigde, billijke en realiseerbare voorstellen’ in. ‘Zijn redevoeringen in de kamer waren zoveel mogelijk gestaafd met feiten en getallen. Hij sprak rustig en zakelijk, was zo wijs zich te onthouden van socialistische propaganda, beperkte zich tot de argumenten.’</w:t>
      </w:r>
      <w:r w:rsidR="005039A4">
        <w:rPr>
          <w:rStyle w:val="Voetnootmarkering"/>
          <w:lang w:val="nl-NL"/>
        </w:rPr>
        <w:footnoteReference w:id="17"/>
      </w:r>
      <w:r w:rsidR="00693721">
        <w:rPr>
          <w:lang w:val="nl-NL"/>
        </w:rPr>
        <w:t xml:space="preserve"> Er werd echter niet naar hem geluisterd, en de 99 </w:t>
      </w:r>
      <w:r w:rsidR="005F6DD1">
        <w:rPr>
          <w:lang w:val="nl-NL"/>
        </w:rPr>
        <w:t>medeparlementariërs</w:t>
      </w:r>
      <w:r w:rsidR="00693721">
        <w:rPr>
          <w:lang w:val="nl-NL"/>
        </w:rPr>
        <w:t xml:space="preserve"> maakten hem het leven zuur. Hij werd, naar zijn eigen opluchting, niet herkozen.</w:t>
      </w:r>
      <w:r w:rsidR="005039A4">
        <w:rPr>
          <w:rStyle w:val="Voetnootmarkering"/>
          <w:lang w:val="nl-NL"/>
        </w:rPr>
        <w:footnoteReference w:id="18"/>
      </w:r>
    </w:p>
    <w:p w14:paraId="523FB762" w14:textId="41E6E082" w:rsidR="00ED30B4" w:rsidRDefault="00ED30B4">
      <w:pPr>
        <w:rPr>
          <w:lang w:val="nl-NL"/>
        </w:rPr>
      </w:pPr>
      <w:r>
        <w:rPr>
          <w:lang w:val="nl-NL"/>
        </w:rPr>
        <w:t xml:space="preserve">Zijn afkeer van de Tweede Kamer, versterkt door zijn zitten van 1888-1891, leidde zelfs tot een sterke </w:t>
      </w:r>
      <w:proofErr w:type="spellStart"/>
      <w:r>
        <w:rPr>
          <w:lang w:val="nl-NL"/>
        </w:rPr>
        <w:t>antiparlementaire</w:t>
      </w:r>
      <w:proofErr w:type="spellEnd"/>
      <w:r>
        <w:rPr>
          <w:lang w:val="nl-NL"/>
        </w:rPr>
        <w:t xml:space="preserve"> beschouwing, die doorgroeide naar anarchisme.</w:t>
      </w:r>
      <w:r w:rsidR="005039A4">
        <w:rPr>
          <w:rStyle w:val="Voetnootmarkering"/>
          <w:lang w:val="nl-NL"/>
        </w:rPr>
        <w:footnoteReference w:id="19"/>
      </w:r>
      <w:r w:rsidR="003F19C9">
        <w:rPr>
          <w:lang w:val="nl-NL"/>
        </w:rPr>
        <w:t xml:space="preserve"> </w:t>
      </w:r>
      <w:r w:rsidR="005320B4">
        <w:rPr>
          <w:lang w:val="nl-NL"/>
        </w:rPr>
        <w:t>Voor het laatst kwam Nieuwenhuis op de voorgrond tijdens de spoorwegstakingen van 1903.</w:t>
      </w:r>
      <w:r w:rsidR="005039A4">
        <w:rPr>
          <w:rStyle w:val="Voetnootmarkering"/>
          <w:lang w:val="nl-NL"/>
        </w:rPr>
        <w:footnoteReference w:id="20"/>
      </w:r>
      <w:r w:rsidR="0030285C">
        <w:rPr>
          <w:lang w:val="nl-NL"/>
        </w:rPr>
        <w:t xml:space="preserve"> Hij stierf in 1933.</w:t>
      </w:r>
      <w:r w:rsidR="005039A4">
        <w:rPr>
          <w:rStyle w:val="Voetnootmarkering"/>
          <w:lang w:val="nl-NL"/>
        </w:rPr>
        <w:footnoteReference w:id="21"/>
      </w:r>
    </w:p>
    <w:p w14:paraId="513FC327" w14:textId="162E868A" w:rsidR="005F6DD1" w:rsidRDefault="005F6DD1">
      <w:pPr>
        <w:rPr>
          <w:lang w:val="nl-NL"/>
        </w:rPr>
      </w:pPr>
    </w:p>
    <w:p w14:paraId="26EEF30E" w14:textId="77777777" w:rsidR="005F6DD1" w:rsidRPr="00C64FCB" w:rsidRDefault="005F6DD1" w:rsidP="005F6DD1">
      <w:pPr>
        <w:rPr>
          <w:b/>
          <w:bCs/>
          <w:lang w:val="nl-NL"/>
        </w:rPr>
      </w:pPr>
      <w:r>
        <w:rPr>
          <w:b/>
          <w:bCs/>
          <w:lang w:val="nl-NL"/>
        </w:rPr>
        <w:t>Zijn ongemakkelijke welvaart, en zijn uitspraken over kapitalisme en het parlement</w:t>
      </w:r>
    </w:p>
    <w:p w14:paraId="759FB3DA" w14:textId="12F09DA0" w:rsidR="00C81CC0" w:rsidRDefault="00C81CC0" w:rsidP="005F6DD1">
      <w:pPr>
        <w:rPr>
          <w:lang w:val="nl-NL"/>
        </w:rPr>
      </w:pPr>
      <w:r>
        <w:rPr>
          <w:lang w:val="nl-NL"/>
        </w:rPr>
        <w:t>Twee uitspraken van de auteur van zijn biografie over zijn persoonlijke welvaart:</w:t>
      </w:r>
    </w:p>
    <w:p w14:paraId="37EF21F3" w14:textId="1EFD4729" w:rsidR="005F6DD1" w:rsidRDefault="005F6DD1" w:rsidP="005F6DD1">
      <w:pPr>
        <w:rPr>
          <w:lang w:val="nl-NL"/>
        </w:rPr>
      </w:pPr>
      <w:r>
        <w:rPr>
          <w:lang w:val="nl-NL"/>
        </w:rPr>
        <w:t xml:space="preserve">‘Nogmaals Domela en zijn fortuin. Dat had, toen hij socialist was geworden, iets gênants. Hij predikte het socialisme, maar leefde als kapitalist – van de rente van zijn kapitaal, in socialistische optiek: van arbeidsloos inkomen, van aan de arbeiders </w:t>
      </w:r>
      <w:proofErr w:type="spellStart"/>
      <w:r>
        <w:rPr>
          <w:lang w:val="nl-NL"/>
        </w:rPr>
        <w:t>ontstolen</w:t>
      </w:r>
      <w:proofErr w:type="spellEnd"/>
      <w:r>
        <w:rPr>
          <w:lang w:val="nl-NL"/>
        </w:rPr>
        <w:t xml:space="preserve"> geld.’</w:t>
      </w:r>
      <w:r>
        <w:rPr>
          <w:rStyle w:val="Voetnootmarkering"/>
          <w:lang w:val="nl-NL"/>
        </w:rPr>
        <w:footnoteReference w:id="22"/>
      </w:r>
    </w:p>
    <w:p w14:paraId="6BF63427" w14:textId="33DBC9DC" w:rsidR="005F6DD1" w:rsidRDefault="005F6DD1" w:rsidP="005F6DD1">
      <w:pPr>
        <w:rPr>
          <w:lang w:val="nl-NL"/>
        </w:rPr>
      </w:pPr>
      <w:r>
        <w:rPr>
          <w:lang w:val="nl-NL"/>
        </w:rPr>
        <w:lastRenderedPageBreak/>
        <w:t>‘De handicap die zijn vermogen daarbij [een voorbeeldig socialist zijn, Jesper] vormde, probeerde hij te neutraliseren door uiterste soberheid te betrachten.’</w:t>
      </w:r>
      <w:r>
        <w:rPr>
          <w:rStyle w:val="Voetnootmarkering"/>
          <w:lang w:val="nl-NL"/>
        </w:rPr>
        <w:footnoteReference w:id="23"/>
      </w:r>
    </w:p>
    <w:p w14:paraId="11DBC262" w14:textId="36BCEBB0" w:rsidR="00C81CC0" w:rsidRDefault="00C81CC0" w:rsidP="005F6DD1">
      <w:pPr>
        <w:rPr>
          <w:lang w:val="nl-NL"/>
        </w:rPr>
      </w:pPr>
    </w:p>
    <w:p w14:paraId="3B40498D" w14:textId="77777777" w:rsidR="0062501C" w:rsidRDefault="00C81CC0">
      <w:pPr>
        <w:rPr>
          <w:lang w:val="nl-NL"/>
        </w:rPr>
      </w:pPr>
      <w:r>
        <w:rPr>
          <w:lang w:val="nl-NL"/>
        </w:rPr>
        <w:t>Vervolgens de uitspraken van Domela Nieuwenhuis over de welvaart van politici. Hij beschuldigde parlementariërs nooit direct van financieel eigenbelang (helaas), maar</w:t>
      </w:r>
      <w:r w:rsidR="0062501C">
        <w:rPr>
          <w:lang w:val="nl-NL"/>
        </w:rPr>
        <w:t xml:space="preserve"> ageerde wel fel tegen het politieke systeem als geheel, dat dienaar van het kapitalisme was, zoals door Albert de Jong beschreven: </w:t>
      </w:r>
    </w:p>
    <w:p w14:paraId="698E3836" w14:textId="0A300C05" w:rsidR="00567C0E" w:rsidRDefault="00F85B14" w:rsidP="0062501C">
      <w:pPr>
        <w:ind w:left="708"/>
        <w:rPr>
          <w:lang w:val="nl-NL"/>
        </w:rPr>
      </w:pPr>
      <w:r>
        <w:rPr>
          <w:lang w:val="nl-NL"/>
        </w:rPr>
        <w:t>‘</w:t>
      </w:r>
      <w:r w:rsidR="00621645">
        <w:rPr>
          <w:lang w:val="nl-NL"/>
        </w:rPr>
        <w:t>Hij kwam tot het standpunt dat de arbeiders nooit de politieke macht zouden kunnen veroveren zolang de bezittende klasse over de economische, dus over de wezenlijke macht beschikt. In 1894 zou hij schrijven: ‘</w:t>
      </w:r>
      <w:r w:rsidR="00621645">
        <w:rPr>
          <w:b/>
          <w:bCs/>
          <w:lang w:val="nl-NL"/>
        </w:rPr>
        <w:t xml:space="preserve">Eerder zien wij baron </w:t>
      </w:r>
      <w:proofErr w:type="spellStart"/>
      <w:r w:rsidR="00621645">
        <w:rPr>
          <w:b/>
          <w:bCs/>
          <w:lang w:val="nl-NL"/>
        </w:rPr>
        <w:t>von</w:t>
      </w:r>
      <w:proofErr w:type="spellEnd"/>
      <w:r w:rsidR="00621645">
        <w:rPr>
          <w:b/>
          <w:bCs/>
          <w:lang w:val="nl-NL"/>
        </w:rPr>
        <w:t xml:space="preserve"> </w:t>
      </w:r>
      <w:proofErr w:type="spellStart"/>
      <w:r w:rsidR="00621645">
        <w:rPr>
          <w:b/>
          <w:bCs/>
          <w:lang w:val="nl-NL"/>
        </w:rPr>
        <w:t>Münchhausen</w:t>
      </w:r>
      <w:proofErr w:type="spellEnd"/>
      <w:r w:rsidR="00621645">
        <w:rPr>
          <w:b/>
          <w:bCs/>
          <w:lang w:val="nl-NL"/>
        </w:rPr>
        <w:t xml:space="preserve"> zich aan de staart van zijn pruik uit de rivier optrekken, dan dat de arbeidersklasse de baas zou worden van de politiek, zolang zij economische volkomen afhankelijk is’.</w:t>
      </w:r>
      <w:r w:rsidR="00621645">
        <w:rPr>
          <w:lang w:val="nl-NL"/>
        </w:rPr>
        <w:t>’</w:t>
      </w:r>
      <w:r w:rsidR="00E44895">
        <w:rPr>
          <w:rStyle w:val="Voetnootmarkering"/>
          <w:lang w:val="nl-NL"/>
        </w:rPr>
        <w:footnoteReference w:id="24"/>
      </w:r>
    </w:p>
    <w:p w14:paraId="7049D522" w14:textId="195BBAAA" w:rsidR="00B418AA" w:rsidRDefault="00B418AA" w:rsidP="00B418AA">
      <w:pPr>
        <w:rPr>
          <w:lang w:val="nl-NL"/>
        </w:rPr>
      </w:pPr>
      <w:r>
        <w:rPr>
          <w:lang w:val="nl-NL"/>
        </w:rPr>
        <w:t>Hij noemde wel het woord ‘omkoperij’:</w:t>
      </w:r>
    </w:p>
    <w:p w14:paraId="3CEF32C9" w14:textId="1866D673" w:rsidR="00562891" w:rsidRDefault="00D339B8" w:rsidP="00B418AA">
      <w:pPr>
        <w:ind w:left="708"/>
        <w:rPr>
          <w:lang w:val="nl-NL"/>
        </w:rPr>
      </w:pPr>
      <w:r>
        <w:rPr>
          <w:lang w:val="nl-NL"/>
        </w:rPr>
        <w:t xml:space="preserve">‘Op 27 maart 1889 schreef hij vanuit de Kamer aan zijn broer Adriaan, dat hij zich er vreselijk verveelde, dat het parlementaire leven hem erg bleef tegenstaan, dat het parlementarisme zich dagelijks meer ondermijnt, daar het ‘uitloopt op verdorvenheid, </w:t>
      </w:r>
      <w:proofErr w:type="spellStart"/>
      <w:r>
        <w:rPr>
          <w:lang w:val="nl-NL"/>
        </w:rPr>
        <w:t>praterij</w:t>
      </w:r>
      <w:proofErr w:type="spellEnd"/>
      <w:r>
        <w:rPr>
          <w:lang w:val="nl-NL"/>
        </w:rPr>
        <w:t xml:space="preserve"> en </w:t>
      </w:r>
      <w:r w:rsidRPr="00D339B8">
        <w:rPr>
          <w:b/>
          <w:bCs/>
          <w:lang w:val="nl-NL"/>
        </w:rPr>
        <w:t>omkoperij’</w:t>
      </w:r>
      <w:r>
        <w:rPr>
          <w:lang w:val="nl-NL"/>
        </w:rPr>
        <w:t>.’</w:t>
      </w:r>
      <w:r w:rsidR="009471EA">
        <w:rPr>
          <w:rStyle w:val="Voetnootmarkering"/>
          <w:lang w:val="nl-NL"/>
        </w:rPr>
        <w:footnoteReference w:id="25"/>
      </w:r>
    </w:p>
    <w:p w14:paraId="15FBB2D0" w14:textId="20EE36C9" w:rsidR="001A782E" w:rsidRDefault="00D853BD">
      <w:pPr>
        <w:rPr>
          <w:lang w:val="nl-NL"/>
        </w:rPr>
      </w:pPr>
      <w:r>
        <w:rPr>
          <w:lang w:val="nl-NL"/>
        </w:rPr>
        <w:t xml:space="preserve">Intern werd Nieuwenhuis door socialistische collega’s wel aangevallen voor zijn rol in het parlement. Zo had </w:t>
      </w:r>
      <w:r w:rsidR="00474993">
        <w:rPr>
          <w:lang w:val="nl-NL"/>
        </w:rPr>
        <w:t xml:space="preserve">Frank van der Goes </w:t>
      </w:r>
      <w:r w:rsidR="001C2293">
        <w:rPr>
          <w:lang w:val="nl-NL"/>
        </w:rPr>
        <w:t>het over Nieuwenhuis als</w:t>
      </w:r>
      <w:r w:rsidR="00474993">
        <w:rPr>
          <w:lang w:val="nl-NL"/>
        </w:rPr>
        <w:t xml:space="preserve"> ‘een uit zijn klasse gevallen </w:t>
      </w:r>
      <w:proofErr w:type="spellStart"/>
      <w:r w:rsidR="00474993">
        <w:rPr>
          <w:lang w:val="nl-NL"/>
        </w:rPr>
        <w:t>bourgeouis</w:t>
      </w:r>
      <w:proofErr w:type="spellEnd"/>
      <w:r w:rsidR="00474993">
        <w:rPr>
          <w:lang w:val="nl-NL"/>
        </w:rPr>
        <w:t>’ noemde, en sprak van ‘praatjes uit een renteniersbrein’.</w:t>
      </w:r>
      <w:r w:rsidR="001C2293">
        <w:rPr>
          <w:lang w:val="nl-NL"/>
        </w:rPr>
        <w:t xml:space="preserve"> Vrij geïnterpreteerd zit hier een beschuldiging van </w:t>
      </w:r>
      <w:proofErr w:type="spellStart"/>
      <w:r w:rsidR="001C2293">
        <w:rPr>
          <w:lang w:val="nl-NL"/>
        </w:rPr>
        <w:t>overloperij</w:t>
      </w:r>
      <w:proofErr w:type="spellEnd"/>
      <w:r w:rsidR="001C2293">
        <w:rPr>
          <w:lang w:val="nl-NL"/>
        </w:rPr>
        <w:t xml:space="preserve"> óf eigenbelang in.</w:t>
      </w:r>
      <w:r w:rsidR="001C2293">
        <w:rPr>
          <w:rStyle w:val="Voetnootmarkering"/>
          <w:lang w:val="nl-NL"/>
        </w:rPr>
        <w:footnoteReference w:id="26"/>
      </w:r>
    </w:p>
    <w:p w14:paraId="41544891" w14:textId="09C748E2" w:rsidR="001C2293" w:rsidRDefault="001C2293">
      <w:pPr>
        <w:rPr>
          <w:lang w:val="nl-NL"/>
        </w:rPr>
      </w:pPr>
      <w:r>
        <w:rPr>
          <w:lang w:val="nl-NL"/>
        </w:rPr>
        <w:t>Tot slot zijn er de geschriften van Domela Nieuwenhuis, die een inkijkje in zijn gedachten geven. Hieruit zijn de volgende citaten het interessants. Opnieuw geeft Nieuwenhuis eerder het parlementaire systeem de schuld, en niet individuele politici.</w:t>
      </w:r>
      <w:r w:rsidR="00C66F25">
        <w:rPr>
          <w:lang w:val="nl-NL"/>
        </w:rPr>
        <w:t xml:space="preserve"> In het volgende citaat legt Nieuwenhuis zijn antiparlementarisme uit:</w:t>
      </w:r>
    </w:p>
    <w:p w14:paraId="3FDDF1C8" w14:textId="49057478" w:rsidR="00ED51BF" w:rsidRPr="00CD2816" w:rsidRDefault="00C66F25" w:rsidP="00C66F25">
      <w:pPr>
        <w:ind w:left="708"/>
        <w:rPr>
          <w:rFonts w:cstheme="minorHAnsi"/>
          <w:lang w:val="nl-NL"/>
        </w:rPr>
      </w:pPr>
      <w:r>
        <w:rPr>
          <w:rFonts w:cstheme="minorHAnsi"/>
          <w:lang w:val="nl-NL"/>
        </w:rPr>
        <w:t>‘</w:t>
      </w:r>
      <w:r w:rsidR="00ED51BF" w:rsidRPr="00CD2816">
        <w:rPr>
          <w:rFonts w:cstheme="minorHAnsi"/>
          <w:lang w:val="nl-NL"/>
        </w:rPr>
        <w:t xml:space="preserve">Maar al deze ervaringen gingen niet zonder </w:t>
      </w:r>
      <w:proofErr w:type="spellStart"/>
      <w:r w:rsidR="00ED51BF" w:rsidRPr="00CD2816">
        <w:rPr>
          <w:rFonts w:cstheme="minorHAnsi"/>
          <w:lang w:val="nl-NL"/>
        </w:rPr>
        <w:t>leering</w:t>
      </w:r>
      <w:proofErr w:type="spellEnd"/>
      <w:r w:rsidR="00ED51BF" w:rsidRPr="00CD2816">
        <w:rPr>
          <w:rFonts w:cstheme="minorHAnsi"/>
          <w:lang w:val="nl-NL"/>
        </w:rPr>
        <w:t xml:space="preserve"> voorbij en steeds meer vond</w:t>
      </w:r>
      <w:r w:rsidR="00ED51BF" w:rsidRPr="00CD2816">
        <w:rPr>
          <w:rFonts w:cstheme="minorHAnsi"/>
          <w:lang w:val="nl-NL"/>
        </w:rPr>
        <w:br/>
        <w:t xml:space="preserve">ik mij bevestigd in de </w:t>
      </w:r>
      <w:proofErr w:type="spellStart"/>
      <w:r w:rsidR="00ED51BF" w:rsidRPr="00CD2816">
        <w:rPr>
          <w:rFonts w:cstheme="minorHAnsi"/>
          <w:lang w:val="nl-NL"/>
        </w:rPr>
        <w:t>meening</w:t>
      </w:r>
      <w:proofErr w:type="spellEnd"/>
      <w:r w:rsidR="00ED51BF" w:rsidRPr="00CD2816">
        <w:rPr>
          <w:rFonts w:cstheme="minorHAnsi"/>
          <w:lang w:val="nl-NL"/>
        </w:rPr>
        <w:t>, dat er langs parlementairen weg geen beterschap</w:t>
      </w:r>
      <w:r w:rsidR="00ED51BF" w:rsidRPr="00CD2816">
        <w:rPr>
          <w:rFonts w:cstheme="minorHAnsi"/>
          <w:lang w:val="nl-NL"/>
        </w:rPr>
        <w:br/>
        <w:t>was te verkrijgen.</w:t>
      </w:r>
      <w:r w:rsidR="00ED51BF" w:rsidRPr="00CD2816">
        <w:rPr>
          <w:rFonts w:cstheme="minorHAnsi"/>
          <w:lang w:val="nl-NL"/>
        </w:rPr>
        <w:br/>
        <w:t xml:space="preserve">Het is een merkwaardige afdwaling des </w:t>
      </w:r>
      <w:proofErr w:type="spellStart"/>
      <w:r w:rsidR="00ED51BF" w:rsidRPr="00CD2816">
        <w:rPr>
          <w:rFonts w:cstheme="minorHAnsi"/>
          <w:lang w:val="nl-NL"/>
        </w:rPr>
        <w:t>geestes</w:t>
      </w:r>
      <w:proofErr w:type="spellEnd"/>
      <w:r w:rsidR="00ED51BF" w:rsidRPr="00CD2816">
        <w:rPr>
          <w:rFonts w:cstheme="minorHAnsi"/>
          <w:lang w:val="nl-NL"/>
        </w:rPr>
        <w:t xml:space="preserve">, dat </w:t>
      </w:r>
      <w:proofErr w:type="spellStart"/>
      <w:r w:rsidR="00ED51BF" w:rsidRPr="00CD2816">
        <w:rPr>
          <w:rFonts w:cstheme="minorHAnsi"/>
          <w:lang w:val="nl-NL"/>
        </w:rPr>
        <w:t>menschen</w:t>
      </w:r>
      <w:proofErr w:type="spellEnd"/>
      <w:r w:rsidR="00ED51BF" w:rsidRPr="00CD2816">
        <w:rPr>
          <w:rFonts w:cstheme="minorHAnsi"/>
          <w:lang w:val="nl-NL"/>
        </w:rPr>
        <w:t xml:space="preserve"> die zich Marxisten</w:t>
      </w:r>
      <w:r w:rsidR="00ED51BF" w:rsidRPr="00CD2816">
        <w:rPr>
          <w:rFonts w:cstheme="minorHAnsi"/>
          <w:lang w:val="nl-NL"/>
        </w:rPr>
        <w:br/>
        <w:t xml:space="preserve">noemen dit niet beter inzien. Immers de </w:t>
      </w:r>
      <w:proofErr w:type="spellStart"/>
      <w:r w:rsidR="00ED51BF" w:rsidRPr="00CD2816">
        <w:rPr>
          <w:rFonts w:cstheme="minorHAnsi"/>
          <w:lang w:val="nl-NL"/>
        </w:rPr>
        <w:t>groote</w:t>
      </w:r>
      <w:proofErr w:type="spellEnd"/>
      <w:r w:rsidR="00ED51BF" w:rsidRPr="00CD2816">
        <w:rPr>
          <w:rFonts w:cstheme="minorHAnsi"/>
          <w:lang w:val="nl-NL"/>
        </w:rPr>
        <w:t xml:space="preserve"> wetenschappelijke daad van Marx</w:t>
      </w:r>
      <w:r w:rsidR="00ED51BF" w:rsidRPr="00CD2816">
        <w:rPr>
          <w:rFonts w:cstheme="minorHAnsi"/>
          <w:lang w:val="nl-NL"/>
        </w:rPr>
        <w:br/>
        <w:t xml:space="preserve">bestaat hierin, dat hij bewijst hoe de </w:t>
      </w:r>
      <w:proofErr w:type="spellStart"/>
      <w:r w:rsidR="00ED51BF" w:rsidRPr="00CD2816">
        <w:rPr>
          <w:rFonts w:cstheme="minorHAnsi"/>
          <w:b/>
          <w:bCs/>
          <w:lang w:val="nl-NL"/>
        </w:rPr>
        <w:t>ekonomische</w:t>
      </w:r>
      <w:proofErr w:type="spellEnd"/>
      <w:r w:rsidR="00ED51BF" w:rsidRPr="00CD2816">
        <w:rPr>
          <w:rFonts w:cstheme="minorHAnsi"/>
          <w:b/>
          <w:bCs/>
          <w:lang w:val="nl-NL"/>
        </w:rPr>
        <w:t xml:space="preserve"> </w:t>
      </w:r>
      <w:proofErr w:type="spellStart"/>
      <w:r w:rsidR="00ED51BF" w:rsidRPr="00CD2816">
        <w:rPr>
          <w:rFonts w:cstheme="minorHAnsi"/>
          <w:b/>
          <w:bCs/>
          <w:lang w:val="nl-NL"/>
        </w:rPr>
        <w:t>struktuur</w:t>
      </w:r>
      <w:proofErr w:type="spellEnd"/>
      <w:r w:rsidR="00ED51BF" w:rsidRPr="00CD2816">
        <w:rPr>
          <w:rFonts w:cstheme="minorHAnsi"/>
          <w:b/>
          <w:bCs/>
          <w:lang w:val="nl-NL"/>
        </w:rPr>
        <w:t xml:space="preserve"> van een </w:t>
      </w:r>
      <w:proofErr w:type="spellStart"/>
      <w:r w:rsidR="00ED51BF" w:rsidRPr="00CD2816">
        <w:rPr>
          <w:rFonts w:cstheme="minorHAnsi"/>
          <w:b/>
          <w:bCs/>
          <w:lang w:val="nl-NL"/>
        </w:rPr>
        <w:t>maatschappelijken</w:t>
      </w:r>
      <w:proofErr w:type="spellEnd"/>
      <w:r w:rsidR="00ED51BF" w:rsidRPr="00CD2816">
        <w:rPr>
          <w:rFonts w:cstheme="minorHAnsi"/>
          <w:b/>
          <w:bCs/>
          <w:lang w:val="nl-NL"/>
        </w:rPr>
        <w:br/>
        <w:t xml:space="preserve">toestand den grondslag, de oorzaak vormt van de </w:t>
      </w:r>
      <w:proofErr w:type="spellStart"/>
      <w:r w:rsidR="00ED51BF" w:rsidRPr="00CD2816">
        <w:rPr>
          <w:rFonts w:cstheme="minorHAnsi"/>
          <w:b/>
          <w:bCs/>
          <w:lang w:val="nl-NL"/>
        </w:rPr>
        <w:t>heerschende</w:t>
      </w:r>
      <w:proofErr w:type="spellEnd"/>
      <w:r w:rsidR="00ED51BF" w:rsidRPr="00CD2816">
        <w:rPr>
          <w:rFonts w:cstheme="minorHAnsi"/>
          <w:b/>
          <w:bCs/>
          <w:lang w:val="nl-NL"/>
        </w:rPr>
        <w:t xml:space="preserve"> politieke toestanden</w:t>
      </w:r>
      <w:r w:rsidR="00ED51BF" w:rsidRPr="00CD2816">
        <w:rPr>
          <w:rFonts w:cstheme="minorHAnsi"/>
          <w:b/>
          <w:bCs/>
          <w:lang w:val="nl-NL"/>
        </w:rPr>
        <w:br/>
      </w:r>
      <w:r w:rsidR="00ED51BF" w:rsidRPr="00CD2816">
        <w:rPr>
          <w:rFonts w:cstheme="minorHAnsi"/>
          <w:lang w:val="nl-NL"/>
        </w:rPr>
        <w:t xml:space="preserve">in zekere periode. Zelfs de </w:t>
      </w:r>
      <w:proofErr w:type="spellStart"/>
      <w:r w:rsidR="00ED51BF" w:rsidRPr="00CD2816">
        <w:rPr>
          <w:rFonts w:cstheme="minorHAnsi"/>
          <w:lang w:val="nl-NL"/>
        </w:rPr>
        <w:t>wijsgeerige</w:t>
      </w:r>
      <w:proofErr w:type="spellEnd"/>
      <w:r w:rsidR="00ED51BF" w:rsidRPr="00CD2816">
        <w:rPr>
          <w:rFonts w:cstheme="minorHAnsi"/>
          <w:lang w:val="nl-NL"/>
        </w:rPr>
        <w:t xml:space="preserve">, godsdienstige, </w:t>
      </w:r>
      <w:proofErr w:type="spellStart"/>
      <w:r w:rsidR="00ED51BF" w:rsidRPr="00CD2816">
        <w:rPr>
          <w:rFonts w:cstheme="minorHAnsi"/>
          <w:lang w:val="nl-NL"/>
        </w:rPr>
        <w:t>aesthetische</w:t>
      </w:r>
      <w:proofErr w:type="spellEnd"/>
      <w:r w:rsidR="00ED51BF" w:rsidRPr="00CD2816">
        <w:rPr>
          <w:rFonts w:cstheme="minorHAnsi"/>
          <w:lang w:val="nl-NL"/>
        </w:rPr>
        <w:t xml:space="preserve"> </w:t>
      </w:r>
      <w:proofErr w:type="spellStart"/>
      <w:r w:rsidR="00ED51BF" w:rsidRPr="00CD2816">
        <w:rPr>
          <w:rFonts w:cstheme="minorHAnsi"/>
          <w:lang w:val="nl-NL"/>
        </w:rPr>
        <w:t>meeningen</w:t>
      </w:r>
      <w:proofErr w:type="spellEnd"/>
      <w:r w:rsidR="00ED51BF" w:rsidRPr="00CD2816">
        <w:rPr>
          <w:rFonts w:cstheme="minorHAnsi"/>
          <w:lang w:val="nl-NL"/>
        </w:rPr>
        <w:t xml:space="preserve"> zijn</w:t>
      </w:r>
      <w:r w:rsidR="00ED51BF" w:rsidRPr="00CD2816">
        <w:rPr>
          <w:rFonts w:cstheme="minorHAnsi"/>
          <w:lang w:val="nl-NL"/>
        </w:rPr>
        <w:br/>
        <w:t xml:space="preserve">volgens die leer terug te voeren op de </w:t>
      </w:r>
      <w:proofErr w:type="spellStart"/>
      <w:r w:rsidR="00ED51BF" w:rsidRPr="00CD2816">
        <w:rPr>
          <w:rFonts w:cstheme="minorHAnsi"/>
          <w:lang w:val="nl-NL"/>
        </w:rPr>
        <w:t>ekonomie</w:t>
      </w:r>
      <w:proofErr w:type="spellEnd"/>
      <w:r w:rsidR="00ED51BF" w:rsidRPr="00CD2816">
        <w:rPr>
          <w:rFonts w:cstheme="minorHAnsi"/>
          <w:lang w:val="nl-NL"/>
        </w:rPr>
        <w:t xml:space="preserve"> als de eigenlijke grondoorzaak. Dus</w:t>
      </w:r>
      <w:r w:rsidR="00ED51BF" w:rsidRPr="00CD2816">
        <w:rPr>
          <w:rFonts w:cstheme="minorHAnsi"/>
          <w:lang w:val="nl-NL"/>
        </w:rPr>
        <w:br/>
        <w:t xml:space="preserve">volgens hem is de </w:t>
      </w:r>
      <w:proofErr w:type="spellStart"/>
      <w:r w:rsidR="00ED51BF" w:rsidRPr="00CD2816">
        <w:rPr>
          <w:rFonts w:cstheme="minorHAnsi"/>
          <w:lang w:val="nl-NL"/>
        </w:rPr>
        <w:t>ekonomie</w:t>
      </w:r>
      <w:proofErr w:type="spellEnd"/>
      <w:r w:rsidR="00ED51BF" w:rsidRPr="00CD2816">
        <w:rPr>
          <w:rFonts w:cstheme="minorHAnsi"/>
          <w:lang w:val="nl-NL"/>
        </w:rPr>
        <w:t xml:space="preserve"> de grondslag, de basis van het gebouw en al het andere</w:t>
      </w:r>
      <w:r w:rsidR="00ED51BF" w:rsidRPr="00CD2816">
        <w:rPr>
          <w:rFonts w:cstheme="minorHAnsi"/>
          <w:lang w:val="nl-NL"/>
        </w:rPr>
        <w:br/>
        <w:t>de bovenbouw, die op dien grondslag is opgetrokken. Logisch gevolg hiervan is, dat</w:t>
      </w:r>
      <w:r w:rsidR="00ED51BF" w:rsidRPr="00CD2816">
        <w:rPr>
          <w:rFonts w:cstheme="minorHAnsi"/>
          <w:lang w:val="nl-NL"/>
        </w:rPr>
        <w:br/>
        <w:t xml:space="preserve">de </w:t>
      </w:r>
      <w:proofErr w:type="spellStart"/>
      <w:r w:rsidR="00ED51BF" w:rsidRPr="00CD2816">
        <w:rPr>
          <w:rFonts w:cstheme="minorHAnsi"/>
          <w:lang w:val="nl-NL"/>
        </w:rPr>
        <w:t>ekonomie</w:t>
      </w:r>
      <w:proofErr w:type="spellEnd"/>
      <w:r w:rsidR="00ED51BF" w:rsidRPr="00CD2816">
        <w:rPr>
          <w:rFonts w:cstheme="minorHAnsi"/>
          <w:lang w:val="nl-NL"/>
        </w:rPr>
        <w:t xml:space="preserve"> der burgerlijke maatschappij het punt van aanval moet zijn. Alleen dan</w:t>
      </w:r>
      <w:r w:rsidR="00ED51BF" w:rsidRPr="00CD2816">
        <w:rPr>
          <w:rFonts w:cstheme="minorHAnsi"/>
          <w:lang w:val="nl-NL"/>
        </w:rPr>
        <w:br/>
        <w:t xml:space="preserve">wanneer de </w:t>
      </w:r>
      <w:proofErr w:type="spellStart"/>
      <w:r w:rsidR="00ED51BF" w:rsidRPr="00CD2816">
        <w:rPr>
          <w:rFonts w:cstheme="minorHAnsi"/>
          <w:lang w:val="nl-NL"/>
        </w:rPr>
        <w:t>ekonomie</w:t>
      </w:r>
      <w:proofErr w:type="spellEnd"/>
      <w:r w:rsidR="00ED51BF" w:rsidRPr="00CD2816">
        <w:rPr>
          <w:rFonts w:cstheme="minorHAnsi"/>
          <w:lang w:val="nl-NL"/>
        </w:rPr>
        <w:t xml:space="preserve"> door de proletarische </w:t>
      </w:r>
      <w:proofErr w:type="spellStart"/>
      <w:r w:rsidR="00ED51BF" w:rsidRPr="00CD2816">
        <w:rPr>
          <w:rFonts w:cstheme="minorHAnsi"/>
          <w:lang w:val="nl-NL"/>
        </w:rPr>
        <w:t>aktie</w:t>
      </w:r>
      <w:proofErr w:type="spellEnd"/>
      <w:r w:rsidR="00ED51BF" w:rsidRPr="00CD2816">
        <w:rPr>
          <w:rFonts w:cstheme="minorHAnsi"/>
          <w:lang w:val="nl-NL"/>
        </w:rPr>
        <w:t xml:space="preserve"> omvergeworpen is, kan er gerekend</w:t>
      </w:r>
      <w:r w:rsidR="00ED51BF" w:rsidRPr="00CD2816">
        <w:rPr>
          <w:rFonts w:cstheme="minorHAnsi"/>
          <w:lang w:val="nl-NL"/>
        </w:rPr>
        <w:br/>
      </w:r>
      <w:r w:rsidR="00ED51BF" w:rsidRPr="00CD2816">
        <w:rPr>
          <w:rFonts w:cstheme="minorHAnsi"/>
          <w:lang w:val="nl-NL"/>
        </w:rPr>
        <w:lastRenderedPageBreak/>
        <w:t xml:space="preserve">worden op een terzijdestelling van de </w:t>
      </w:r>
      <w:proofErr w:type="spellStart"/>
      <w:r w:rsidR="00ED51BF" w:rsidRPr="00CD2816">
        <w:rPr>
          <w:rFonts w:cstheme="minorHAnsi"/>
          <w:lang w:val="nl-NL"/>
        </w:rPr>
        <w:t>wijsgeerige</w:t>
      </w:r>
      <w:proofErr w:type="spellEnd"/>
      <w:r w:rsidR="00ED51BF" w:rsidRPr="00CD2816">
        <w:rPr>
          <w:rFonts w:cstheme="minorHAnsi"/>
          <w:lang w:val="nl-NL"/>
        </w:rPr>
        <w:t xml:space="preserve"> en godsdienstige anachronismen</w:t>
      </w:r>
      <w:r w:rsidR="00ED51BF" w:rsidRPr="00CD2816">
        <w:rPr>
          <w:rFonts w:cstheme="minorHAnsi"/>
          <w:lang w:val="nl-NL"/>
        </w:rPr>
        <w:br/>
        <w:t xml:space="preserve">en </w:t>
      </w:r>
      <w:proofErr w:type="spellStart"/>
      <w:r w:rsidR="00ED51BF" w:rsidRPr="00CD2816">
        <w:rPr>
          <w:rFonts w:cstheme="minorHAnsi"/>
          <w:lang w:val="nl-NL"/>
        </w:rPr>
        <w:t>vooroordeelen</w:t>
      </w:r>
      <w:proofErr w:type="spellEnd"/>
      <w:r w:rsidR="00ED51BF" w:rsidRPr="00CD2816">
        <w:rPr>
          <w:rFonts w:cstheme="minorHAnsi"/>
          <w:lang w:val="nl-NL"/>
        </w:rPr>
        <w:t>. En nu is het een dier raadselachtigheden, waarmede de wereld</w:t>
      </w:r>
      <w:r w:rsidR="00ED51BF" w:rsidRPr="00CD2816">
        <w:rPr>
          <w:rFonts w:cstheme="minorHAnsi"/>
          <w:lang w:val="nl-NL"/>
        </w:rPr>
        <w:br/>
        <w:t xml:space="preserve">overigens vol is, dat de </w:t>
      </w:r>
      <w:proofErr w:type="spellStart"/>
      <w:r w:rsidR="00ED51BF" w:rsidRPr="00CD2816">
        <w:rPr>
          <w:rFonts w:cstheme="minorHAnsi"/>
          <w:lang w:val="nl-NL"/>
        </w:rPr>
        <w:t>sociaaldemokratie</w:t>
      </w:r>
      <w:proofErr w:type="spellEnd"/>
      <w:r w:rsidR="00ED51BF" w:rsidRPr="00CD2816">
        <w:rPr>
          <w:rFonts w:cstheme="minorHAnsi"/>
          <w:lang w:val="nl-NL"/>
        </w:rPr>
        <w:t>, die beweert op zuiver Marxistisch</w:t>
      </w:r>
      <w:r w:rsidR="00ED51BF" w:rsidRPr="00CD2816">
        <w:rPr>
          <w:rFonts w:cstheme="minorHAnsi"/>
          <w:lang w:val="nl-NL"/>
        </w:rPr>
        <w:br/>
        <w:t>standpunt te staan, in de praktijk precies de tegenovergestelde methode volgt. Zij</w:t>
      </w:r>
      <w:r w:rsidR="00ED51BF" w:rsidRPr="00CD2816">
        <w:rPr>
          <w:rFonts w:cstheme="minorHAnsi"/>
          <w:lang w:val="nl-NL"/>
        </w:rPr>
        <w:br/>
        <w:t>toch stelt de politiek op den voorgrond en wil door politieke middelen de burgerlijke</w:t>
      </w:r>
      <w:r w:rsidR="00ED51BF" w:rsidRPr="00CD2816">
        <w:rPr>
          <w:rFonts w:cstheme="minorHAnsi"/>
          <w:lang w:val="nl-NL"/>
        </w:rPr>
        <w:br/>
      </w:r>
      <w:proofErr w:type="spellStart"/>
      <w:r w:rsidR="00ED51BF" w:rsidRPr="00CD2816">
        <w:rPr>
          <w:rFonts w:cstheme="minorHAnsi"/>
          <w:lang w:val="nl-NL"/>
        </w:rPr>
        <w:t>ekonomie</w:t>
      </w:r>
      <w:proofErr w:type="spellEnd"/>
      <w:r w:rsidR="00ED51BF" w:rsidRPr="00CD2816">
        <w:rPr>
          <w:rFonts w:cstheme="minorHAnsi"/>
          <w:lang w:val="nl-NL"/>
        </w:rPr>
        <w:t xml:space="preserve"> omverwerpen, wat precies hetzelfde is als dat men de oorzaak wil</w:t>
      </w:r>
      <w:r w:rsidR="00ED51BF" w:rsidRPr="00CD2816">
        <w:rPr>
          <w:rFonts w:cstheme="minorHAnsi"/>
          <w:lang w:val="nl-NL"/>
        </w:rPr>
        <w:br/>
        <w:t>vernietigen door het bestrijden en opheffen der gevolgen</w:t>
      </w:r>
      <w:r>
        <w:rPr>
          <w:rFonts w:cstheme="minorHAnsi"/>
          <w:lang w:val="nl-NL"/>
        </w:rPr>
        <w:t>.’</w:t>
      </w:r>
      <w:r>
        <w:rPr>
          <w:rStyle w:val="Voetnootmarkering"/>
          <w:rFonts w:cstheme="minorHAnsi"/>
          <w:lang w:val="nl-NL"/>
        </w:rPr>
        <w:footnoteReference w:id="27"/>
      </w:r>
    </w:p>
    <w:p w14:paraId="0C7299FD" w14:textId="77777777" w:rsidR="00C66F25" w:rsidRDefault="00C66F25">
      <w:pPr>
        <w:rPr>
          <w:rFonts w:cstheme="minorHAnsi"/>
          <w:lang w:val="nl-NL"/>
        </w:rPr>
      </w:pPr>
      <w:r>
        <w:rPr>
          <w:rFonts w:cstheme="minorHAnsi"/>
          <w:lang w:val="nl-NL"/>
        </w:rPr>
        <w:t xml:space="preserve">In het volgende citaat, uit hetzelfde boek, is zijn gedachtegang directer. Het parlement staat hier gelijk aan de beheerder van de lichamen van de burgerlijke </w:t>
      </w:r>
      <w:proofErr w:type="spellStart"/>
      <w:r>
        <w:rPr>
          <w:rFonts w:cstheme="minorHAnsi"/>
          <w:lang w:val="nl-NL"/>
        </w:rPr>
        <w:t>uitzuigersstaat</w:t>
      </w:r>
      <w:proofErr w:type="spellEnd"/>
      <w:r>
        <w:rPr>
          <w:rFonts w:cstheme="minorHAnsi"/>
          <w:lang w:val="nl-NL"/>
        </w:rPr>
        <w:t>!:</w:t>
      </w:r>
    </w:p>
    <w:p w14:paraId="183F7E38" w14:textId="09D85138" w:rsidR="00C02CCF" w:rsidRPr="00CD2816" w:rsidRDefault="00C02CCF" w:rsidP="00C66F25">
      <w:pPr>
        <w:ind w:left="708"/>
        <w:rPr>
          <w:rFonts w:cstheme="minorHAnsi"/>
          <w:lang w:val="nl-NL"/>
        </w:rPr>
      </w:pPr>
      <w:r w:rsidRPr="00CD2816">
        <w:rPr>
          <w:rFonts w:cstheme="minorHAnsi"/>
          <w:lang w:val="nl-NL"/>
        </w:rPr>
        <w:t xml:space="preserve">Het </w:t>
      </w:r>
      <w:r w:rsidRPr="009A0FE3">
        <w:rPr>
          <w:rFonts w:cstheme="minorHAnsi"/>
          <w:b/>
          <w:bCs/>
          <w:lang w:val="nl-NL"/>
        </w:rPr>
        <w:t>parlement</w:t>
      </w:r>
      <w:r w:rsidRPr="00CD2816">
        <w:rPr>
          <w:rFonts w:cstheme="minorHAnsi"/>
          <w:lang w:val="nl-NL"/>
        </w:rPr>
        <w:t xml:space="preserve"> toch met zijn verschillende belangengroepen,</w:t>
      </w:r>
      <w:r w:rsidRPr="00CD2816">
        <w:rPr>
          <w:rFonts w:cstheme="minorHAnsi"/>
          <w:lang w:val="nl-NL"/>
        </w:rPr>
        <w:br/>
      </w:r>
      <w:proofErr w:type="spellStart"/>
      <w:r w:rsidRPr="00CD2816">
        <w:rPr>
          <w:rFonts w:cstheme="minorHAnsi"/>
          <w:lang w:val="nl-NL"/>
        </w:rPr>
        <w:t>wien</w:t>
      </w:r>
      <w:proofErr w:type="spellEnd"/>
      <w:r w:rsidRPr="00CD2816">
        <w:rPr>
          <w:rFonts w:cstheme="minorHAnsi"/>
          <w:lang w:val="nl-NL"/>
        </w:rPr>
        <w:t xml:space="preserve"> het erom te doen is, om te weten in welke mate elk hunner deel kan nemen aan</w:t>
      </w:r>
      <w:r w:rsidRPr="00CD2816">
        <w:rPr>
          <w:rFonts w:cstheme="minorHAnsi"/>
          <w:lang w:val="nl-NL"/>
        </w:rPr>
        <w:br/>
        <w:t xml:space="preserve">de </w:t>
      </w:r>
      <w:proofErr w:type="spellStart"/>
      <w:r w:rsidRPr="009A0FE3">
        <w:rPr>
          <w:rFonts w:cstheme="minorHAnsi"/>
          <w:b/>
          <w:bCs/>
          <w:lang w:val="nl-NL"/>
        </w:rPr>
        <w:t>ekonomische</w:t>
      </w:r>
      <w:proofErr w:type="spellEnd"/>
      <w:r w:rsidRPr="009A0FE3">
        <w:rPr>
          <w:rFonts w:cstheme="minorHAnsi"/>
          <w:b/>
          <w:bCs/>
          <w:lang w:val="nl-NL"/>
        </w:rPr>
        <w:t xml:space="preserve"> uitzuiging der massa</w:t>
      </w:r>
      <w:r w:rsidRPr="00CD2816">
        <w:rPr>
          <w:rFonts w:cstheme="minorHAnsi"/>
          <w:lang w:val="nl-NL"/>
        </w:rPr>
        <w:t>, is de politieke weerkaatsing van het materieel</w:t>
      </w:r>
      <w:r w:rsidRPr="00CD2816">
        <w:rPr>
          <w:rFonts w:cstheme="minorHAnsi"/>
          <w:lang w:val="nl-NL"/>
        </w:rPr>
        <w:br/>
        <w:t>en geestelijk bedrog, dat aan die massa gepleegd wordt. Men bestrijdt dus de schaduw</w:t>
      </w:r>
      <w:r w:rsidRPr="00CD2816">
        <w:rPr>
          <w:rFonts w:cstheme="minorHAnsi"/>
          <w:lang w:val="nl-NL"/>
        </w:rPr>
        <w:br/>
        <w:t>in plaats van de werkelijkheid. De oorzaak van de slavernij van den arbeid, het</w:t>
      </w:r>
      <w:r w:rsidRPr="00CD2816">
        <w:rPr>
          <w:rFonts w:cstheme="minorHAnsi"/>
          <w:lang w:val="nl-NL"/>
        </w:rPr>
        <w:br/>
        <w:t>bezitsrecht der minderheid over de meerderheid, kan door de parlementen onmogelijk</w:t>
      </w:r>
      <w:r w:rsidRPr="00CD2816">
        <w:rPr>
          <w:rFonts w:cstheme="minorHAnsi"/>
          <w:lang w:val="nl-NL"/>
        </w:rPr>
        <w:br/>
        <w:t xml:space="preserve">aangetast worden, want deze zijn in het wezen der zaak niets anders dan </w:t>
      </w:r>
      <w:r w:rsidRPr="009A0FE3">
        <w:rPr>
          <w:rFonts w:cstheme="minorHAnsi"/>
          <w:b/>
          <w:bCs/>
          <w:lang w:val="nl-NL"/>
        </w:rPr>
        <w:t>lichamen</w:t>
      </w:r>
      <w:r w:rsidRPr="009A0FE3">
        <w:rPr>
          <w:rFonts w:cstheme="minorHAnsi"/>
          <w:b/>
          <w:bCs/>
          <w:lang w:val="nl-NL"/>
        </w:rPr>
        <w:br/>
        <w:t xml:space="preserve">die den </w:t>
      </w:r>
      <w:proofErr w:type="spellStart"/>
      <w:r w:rsidRPr="009A0FE3">
        <w:rPr>
          <w:rFonts w:cstheme="minorHAnsi"/>
          <w:b/>
          <w:bCs/>
          <w:lang w:val="nl-NL"/>
        </w:rPr>
        <w:t>burgerlijken</w:t>
      </w:r>
      <w:proofErr w:type="spellEnd"/>
      <w:r w:rsidRPr="009A0FE3">
        <w:rPr>
          <w:rFonts w:cstheme="minorHAnsi"/>
          <w:b/>
          <w:bCs/>
          <w:lang w:val="nl-NL"/>
        </w:rPr>
        <w:t xml:space="preserve"> </w:t>
      </w:r>
      <w:proofErr w:type="spellStart"/>
      <w:r w:rsidRPr="009A0FE3">
        <w:rPr>
          <w:rFonts w:cstheme="minorHAnsi"/>
          <w:b/>
          <w:bCs/>
          <w:lang w:val="nl-NL"/>
        </w:rPr>
        <w:t>uitzuigersstaat</w:t>
      </w:r>
      <w:proofErr w:type="spellEnd"/>
      <w:r w:rsidRPr="009A0FE3">
        <w:rPr>
          <w:rFonts w:cstheme="minorHAnsi"/>
          <w:b/>
          <w:bCs/>
          <w:lang w:val="nl-NL"/>
        </w:rPr>
        <w:t xml:space="preserve"> </w:t>
      </w:r>
      <w:proofErr w:type="spellStart"/>
      <w:r w:rsidRPr="009A0FE3">
        <w:rPr>
          <w:rFonts w:cstheme="minorHAnsi"/>
          <w:b/>
          <w:bCs/>
          <w:lang w:val="nl-NL"/>
        </w:rPr>
        <w:t>beheeren</w:t>
      </w:r>
      <w:proofErr w:type="spellEnd"/>
      <w:r w:rsidRPr="00CD2816">
        <w:rPr>
          <w:rFonts w:cstheme="minorHAnsi"/>
          <w:lang w:val="nl-NL"/>
        </w:rPr>
        <w:t>.</w:t>
      </w:r>
      <w:r w:rsidR="00C66F25">
        <w:rPr>
          <w:rStyle w:val="Voetnootmarkering"/>
          <w:rFonts w:cstheme="minorHAnsi"/>
          <w:lang w:val="nl-NL"/>
        </w:rPr>
        <w:footnoteReference w:id="28"/>
      </w:r>
    </w:p>
    <w:p w14:paraId="0F64BD57" w14:textId="26C06F4D" w:rsidR="00057D96" w:rsidRDefault="00057D96">
      <w:pPr>
        <w:rPr>
          <w:lang w:val="nl-NL"/>
        </w:rPr>
      </w:pPr>
    </w:p>
    <w:p w14:paraId="3F7A9565" w14:textId="5CC214EA" w:rsidR="00057D96" w:rsidRDefault="00057D96">
      <w:pPr>
        <w:rPr>
          <w:lang w:val="nl-NL"/>
        </w:rPr>
      </w:pPr>
    </w:p>
    <w:p w14:paraId="1CA92AF4" w14:textId="79EF8FA7" w:rsidR="00057D96" w:rsidRDefault="00057D96">
      <w:pPr>
        <w:rPr>
          <w:b/>
          <w:bCs/>
          <w:lang w:val="nl-NL"/>
        </w:rPr>
      </w:pPr>
      <w:r>
        <w:rPr>
          <w:b/>
          <w:bCs/>
          <w:lang w:val="nl-NL"/>
        </w:rPr>
        <w:t>NB: Wat is de bankwet???</w:t>
      </w:r>
    </w:p>
    <w:p w14:paraId="7666E689" w14:textId="64A7131F" w:rsidR="00AD0694" w:rsidRDefault="00AD0694">
      <w:pPr>
        <w:rPr>
          <w:b/>
          <w:bCs/>
          <w:lang w:val="nl-NL"/>
        </w:rPr>
      </w:pPr>
    </w:p>
    <w:p w14:paraId="7895881D" w14:textId="72051BE2" w:rsidR="00AD0694" w:rsidRPr="001A11DD" w:rsidRDefault="001A11DD">
      <w:pPr>
        <w:rPr>
          <w:lang w:val="nl-NL"/>
        </w:rPr>
      </w:pPr>
      <w:r w:rsidRPr="00E44895">
        <w:rPr>
          <w:lang w:val="nl-NL"/>
        </w:rPr>
        <w:t xml:space="preserve">De Jong, Albert, </w:t>
      </w:r>
      <w:r w:rsidRPr="00E44895">
        <w:rPr>
          <w:i/>
          <w:iCs/>
          <w:lang w:val="nl-NL"/>
        </w:rPr>
        <w:t xml:space="preserve">Domela Nieuwenhuis </w:t>
      </w:r>
      <w:r w:rsidRPr="00E44895">
        <w:rPr>
          <w:lang w:val="nl-NL"/>
        </w:rPr>
        <w:t xml:space="preserve">(Amsterdam 1981). </w:t>
      </w:r>
    </w:p>
    <w:p w14:paraId="21A0C62B" w14:textId="48496FA5" w:rsidR="00AD0694" w:rsidRPr="00E44895" w:rsidRDefault="00AD0694" w:rsidP="00AD0694">
      <w:pPr>
        <w:rPr>
          <w:lang w:val="nl-NL"/>
        </w:rPr>
      </w:pPr>
      <w:r w:rsidRPr="00E44895">
        <w:rPr>
          <w:lang w:val="nl-NL"/>
        </w:rPr>
        <w:t xml:space="preserve">Meyers, Jan, </w:t>
      </w:r>
      <w:r w:rsidRPr="00E44895">
        <w:rPr>
          <w:i/>
          <w:iCs/>
          <w:lang w:val="nl-NL"/>
        </w:rPr>
        <w:t xml:space="preserve">Domela: Een hemel op aarde: Leven en streven van Ferdinand Domela Nieuwenhuis </w:t>
      </w:r>
      <w:r w:rsidRPr="00E44895">
        <w:rPr>
          <w:lang w:val="nl-NL"/>
        </w:rPr>
        <w:t>(Amsterdam 1993).</w:t>
      </w:r>
    </w:p>
    <w:p w14:paraId="69FE019E" w14:textId="4F053044" w:rsidR="001C2293" w:rsidRPr="00D538FB" w:rsidRDefault="001C2293" w:rsidP="001C2293">
      <w:pPr>
        <w:rPr>
          <w:lang w:val="nl-NL"/>
        </w:rPr>
      </w:pPr>
      <w:r w:rsidRPr="00D538FB">
        <w:rPr>
          <w:lang w:val="nl-NL"/>
        </w:rPr>
        <w:t>Nieuwenhuis,</w:t>
      </w:r>
      <w:r w:rsidRPr="001C2293">
        <w:rPr>
          <w:lang w:val="nl-NL"/>
        </w:rPr>
        <w:t xml:space="preserve"> </w:t>
      </w:r>
      <w:r w:rsidRPr="00D538FB">
        <w:rPr>
          <w:lang w:val="nl-NL"/>
        </w:rPr>
        <w:t>Ferdinand Domela</w:t>
      </w:r>
      <w:r>
        <w:rPr>
          <w:lang w:val="nl-NL"/>
        </w:rPr>
        <w:t>,</w:t>
      </w:r>
      <w:r w:rsidRPr="00D538FB">
        <w:rPr>
          <w:lang w:val="nl-NL"/>
        </w:rPr>
        <w:t xml:space="preserve"> </w:t>
      </w:r>
      <w:r w:rsidRPr="00D538FB">
        <w:rPr>
          <w:i/>
          <w:iCs/>
          <w:lang w:val="nl-NL"/>
        </w:rPr>
        <w:t>Van christen tot anarchist</w:t>
      </w:r>
      <w:r>
        <w:rPr>
          <w:lang w:val="nl-NL"/>
        </w:rPr>
        <w:t xml:space="preserve"> (</w:t>
      </w:r>
      <w:r w:rsidRPr="00D538FB">
        <w:rPr>
          <w:lang w:val="nl-NL"/>
        </w:rPr>
        <w:t>Amsterdam 1910</w:t>
      </w:r>
      <w:r>
        <w:rPr>
          <w:lang w:val="nl-NL"/>
        </w:rPr>
        <w:t>)</w:t>
      </w:r>
      <w:r>
        <w:rPr>
          <w:lang w:val="nl-NL"/>
        </w:rPr>
        <w:t xml:space="preserve">. </w:t>
      </w:r>
    </w:p>
    <w:p w14:paraId="476432CF" w14:textId="77777777" w:rsidR="001C2293" w:rsidRPr="00E44895" w:rsidRDefault="001C2293" w:rsidP="00E44895">
      <w:pPr>
        <w:rPr>
          <w:lang w:val="nl-NL"/>
        </w:rPr>
      </w:pPr>
    </w:p>
    <w:p w14:paraId="444CDD57" w14:textId="77777777" w:rsidR="00E44895" w:rsidRPr="0030285C" w:rsidRDefault="00E44895" w:rsidP="00AD0694">
      <w:pPr>
        <w:rPr>
          <w:b/>
          <w:bCs/>
          <w:u w:val="single"/>
          <w:lang w:val="nl-NL"/>
        </w:rPr>
      </w:pPr>
    </w:p>
    <w:p w14:paraId="0FC8B3A7" w14:textId="77777777" w:rsidR="00AD0694" w:rsidRPr="00057D96" w:rsidRDefault="00AD0694">
      <w:pPr>
        <w:rPr>
          <w:b/>
          <w:bCs/>
          <w:lang w:val="nl-NL"/>
        </w:rPr>
      </w:pPr>
    </w:p>
    <w:sectPr w:rsidR="00AD0694" w:rsidRPr="00057D9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C92F36" w14:textId="77777777" w:rsidR="009730CF" w:rsidRDefault="009730CF" w:rsidP="00AD0694">
      <w:pPr>
        <w:spacing w:after="0" w:line="240" w:lineRule="auto"/>
      </w:pPr>
      <w:r>
        <w:separator/>
      </w:r>
    </w:p>
  </w:endnote>
  <w:endnote w:type="continuationSeparator" w:id="0">
    <w:p w14:paraId="4D01950C" w14:textId="77777777" w:rsidR="009730CF" w:rsidRDefault="009730CF" w:rsidP="00AD06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99203" w14:textId="77777777" w:rsidR="009730CF" w:rsidRDefault="009730CF" w:rsidP="00AD0694">
      <w:pPr>
        <w:spacing w:after="0" w:line="240" w:lineRule="auto"/>
      </w:pPr>
      <w:r>
        <w:separator/>
      </w:r>
    </w:p>
  </w:footnote>
  <w:footnote w:type="continuationSeparator" w:id="0">
    <w:p w14:paraId="182FD824" w14:textId="77777777" w:rsidR="009730CF" w:rsidRDefault="009730CF" w:rsidP="00AD0694">
      <w:pPr>
        <w:spacing w:after="0" w:line="240" w:lineRule="auto"/>
      </w:pPr>
      <w:r>
        <w:continuationSeparator/>
      </w:r>
    </w:p>
  </w:footnote>
  <w:footnote w:id="1">
    <w:p w14:paraId="4C75EB2D" w14:textId="67B4885C" w:rsidR="00AD0694" w:rsidRPr="00AD0694" w:rsidRDefault="00AD0694" w:rsidP="00AD0694">
      <w:pPr>
        <w:rPr>
          <w:sz w:val="20"/>
          <w:szCs w:val="20"/>
          <w:u w:val="single"/>
          <w:lang w:val="nl-NL"/>
        </w:rPr>
      </w:pPr>
      <w:r w:rsidRPr="00AD0694">
        <w:rPr>
          <w:rStyle w:val="Voetnootmarkering"/>
          <w:sz w:val="20"/>
          <w:szCs w:val="20"/>
        </w:rPr>
        <w:footnoteRef/>
      </w:r>
      <w:r w:rsidRPr="00AD0694">
        <w:rPr>
          <w:sz w:val="20"/>
          <w:szCs w:val="20"/>
          <w:lang w:val="nl-NL"/>
        </w:rPr>
        <w:t xml:space="preserve"> </w:t>
      </w:r>
      <w:r w:rsidRPr="00AD0694">
        <w:rPr>
          <w:sz w:val="20"/>
          <w:szCs w:val="20"/>
          <w:lang w:val="nl-NL"/>
        </w:rPr>
        <w:t>Jan</w:t>
      </w:r>
      <w:r w:rsidRPr="00AD0694">
        <w:rPr>
          <w:sz w:val="20"/>
          <w:szCs w:val="20"/>
          <w:lang w:val="nl-NL"/>
        </w:rPr>
        <w:t xml:space="preserve"> Meyers</w:t>
      </w:r>
      <w:r w:rsidRPr="00AD0694">
        <w:rPr>
          <w:sz w:val="20"/>
          <w:szCs w:val="20"/>
          <w:lang w:val="nl-NL"/>
        </w:rPr>
        <w:t xml:space="preserve">, </w:t>
      </w:r>
      <w:r w:rsidRPr="00AD0694">
        <w:rPr>
          <w:i/>
          <w:iCs/>
          <w:sz w:val="20"/>
          <w:szCs w:val="20"/>
          <w:lang w:val="nl-NL"/>
        </w:rPr>
        <w:t xml:space="preserve">Domela: Een hemel op aarde: Leven en streven van Ferdinand Domela Nieuwenhuis </w:t>
      </w:r>
      <w:r w:rsidRPr="00AD0694">
        <w:rPr>
          <w:sz w:val="20"/>
          <w:szCs w:val="20"/>
          <w:lang w:val="nl-NL"/>
        </w:rPr>
        <w:t>(Amsterdam 1993)</w:t>
      </w:r>
      <w:r w:rsidRPr="00AD0694">
        <w:rPr>
          <w:sz w:val="20"/>
          <w:szCs w:val="20"/>
          <w:lang w:val="nl-NL"/>
        </w:rPr>
        <w:t xml:space="preserve"> 11</w:t>
      </w:r>
      <w:r w:rsidRPr="00AD0694">
        <w:rPr>
          <w:sz w:val="20"/>
          <w:szCs w:val="20"/>
          <w:lang w:val="nl-NL"/>
        </w:rPr>
        <w:t>.</w:t>
      </w:r>
    </w:p>
  </w:footnote>
  <w:footnote w:id="2">
    <w:p w14:paraId="1A4176C9" w14:textId="33A65401" w:rsidR="00AD0694" w:rsidRPr="00AD0694" w:rsidRDefault="00AD0694">
      <w:pPr>
        <w:pStyle w:val="Voetnoottekst"/>
      </w:pPr>
      <w:r>
        <w:rPr>
          <w:rStyle w:val="Voetnootmarkering"/>
        </w:rPr>
        <w:footnoteRef/>
      </w:r>
      <w:r>
        <w:t xml:space="preserve"> Meyers, </w:t>
      </w:r>
      <w:proofErr w:type="spellStart"/>
      <w:r>
        <w:rPr>
          <w:i/>
          <w:iCs/>
        </w:rPr>
        <w:t>Domela</w:t>
      </w:r>
      <w:proofErr w:type="spellEnd"/>
      <w:r>
        <w:t>, 14.</w:t>
      </w:r>
    </w:p>
  </w:footnote>
  <w:footnote w:id="3">
    <w:p w14:paraId="628415CD" w14:textId="7EDDBACC" w:rsidR="00AD0694" w:rsidRPr="00AD0694" w:rsidRDefault="00AD0694">
      <w:pPr>
        <w:pStyle w:val="Voetnoottekst"/>
        <w:rPr>
          <w:lang w:val="nl-NL"/>
        </w:rPr>
      </w:pPr>
      <w:r>
        <w:rPr>
          <w:rStyle w:val="Voetnootmarkering"/>
        </w:rPr>
        <w:footnoteRef/>
      </w:r>
      <w:r>
        <w:t xml:space="preserve"> </w:t>
      </w:r>
      <w:r>
        <w:rPr>
          <w:lang w:val="nl-NL"/>
        </w:rPr>
        <w:t>Ibidem, 2</w:t>
      </w:r>
      <w:r w:rsidR="00BD1AF9">
        <w:rPr>
          <w:lang w:val="nl-NL"/>
        </w:rPr>
        <w:t>1.</w:t>
      </w:r>
    </w:p>
  </w:footnote>
  <w:footnote w:id="4">
    <w:p w14:paraId="54ACB4FC" w14:textId="515C182C" w:rsidR="00BD1AF9" w:rsidRPr="00BD1AF9" w:rsidRDefault="00BD1AF9">
      <w:pPr>
        <w:pStyle w:val="Voetnoottekst"/>
        <w:rPr>
          <w:lang w:val="nl-NL"/>
        </w:rPr>
      </w:pPr>
      <w:r>
        <w:rPr>
          <w:rStyle w:val="Voetnootmarkering"/>
        </w:rPr>
        <w:footnoteRef/>
      </w:r>
      <w:r>
        <w:t xml:space="preserve"> </w:t>
      </w:r>
      <w:r>
        <w:rPr>
          <w:lang w:val="nl-NL"/>
        </w:rPr>
        <w:t>Ibidem</w:t>
      </w:r>
      <w:r>
        <w:rPr>
          <w:lang w:val="nl-NL"/>
        </w:rPr>
        <w:t>, 24.</w:t>
      </w:r>
    </w:p>
  </w:footnote>
  <w:footnote w:id="5">
    <w:p w14:paraId="750D92CB" w14:textId="62D48157" w:rsidR="00BD1AF9" w:rsidRPr="00BD1AF9" w:rsidRDefault="00BD1AF9">
      <w:pPr>
        <w:pStyle w:val="Voetnoottekst"/>
        <w:rPr>
          <w:lang w:val="nl-NL"/>
        </w:rPr>
      </w:pPr>
      <w:r>
        <w:rPr>
          <w:rStyle w:val="Voetnootmarkering"/>
        </w:rPr>
        <w:footnoteRef/>
      </w:r>
      <w:r>
        <w:t xml:space="preserve"> </w:t>
      </w:r>
      <w:r>
        <w:rPr>
          <w:lang w:val="nl-NL"/>
        </w:rPr>
        <w:t>Ibidem</w:t>
      </w:r>
      <w:r>
        <w:rPr>
          <w:lang w:val="nl-NL"/>
        </w:rPr>
        <w:t>, 27.</w:t>
      </w:r>
    </w:p>
  </w:footnote>
  <w:footnote w:id="6">
    <w:p w14:paraId="07A97771" w14:textId="50B3A1DD" w:rsidR="00BD1AF9" w:rsidRPr="00BD1AF9" w:rsidRDefault="00BD1AF9">
      <w:pPr>
        <w:pStyle w:val="Voetnoottekst"/>
        <w:rPr>
          <w:lang w:val="nl-NL"/>
        </w:rPr>
      </w:pPr>
      <w:r>
        <w:rPr>
          <w:rStyle w:val="Voetnootmarkering"/>
        </w:rPr>
        <w:footnoteRef/>
      </w:r>
      <w:r>
        <w:t xml:space="preserve"> </w:t>
      </w:r>
      <w:r>
        <w:rPr>
          <w:lang w:val="nl-NL"/>
        </w:rPr>
        <w:t>Ibidem</w:t>
      </w:r>
      <w:r>
        <w:rPr>
          <w:lang w:val="nl-NL"/>
        </w:rPr>
        <w:t>, 28.</w:t>
      </w:r>
    </w:p>
  </w:footnote>
  <w:footnote w:id="7">
    <w:p w14:paraId="69528916" w14:textId="4C928345" w:rsidR="00BD1AF9" w:rsidRPr="00BD1AF9" w:rsidRDefault="00BD1AF9">
      <w:pPr>
        <w:pStyle w:val="Voetnoottekst"/>
        <w:rPr>
          <w:lang w:val="nl-NL"/>
        </w:rPr>
      </w:pPr>
      <w:r>
        <w:rPr>
          <w:rStyle w:val="Voetnootmarkering"/>
        </w:rPr>
        <w:footnoteRef/>
      </w:r>
      <w:r>
        <w:t xml:space="preserve"> </w:t>
      </w:r>
      <w:r>
        <w:rPr>
          <w:lang w:val="nl-NL"/>
        </w:rPr>
        <w:t>Ibidem</w:t>
      </w:r>
      <w:r>
        <w:rPr>
          <w:lang w:val="nl-NL"/>
        </w:rPr>
        <w:t>, 35.</w:t>
      </w:r>
    </w:p>
  </w:footnote>
  <w:footnote w:id="8">
    <w:p w14:paraId="6CEFFA3C" w14:textId="77777777" w:rsidR="00C81CC0" w:rsidRPr="00BD1AF9" w:rsidRDefault="00C81CC0" w:rsidP="00C81CC0">
      <w:pPr>
        <w:pStyle w:val="Voetnoottekst"/>
        <w:rPr>
          <w:lang w:val="nl-NL"/>
        </w:rPr>
      </w:pPr>
      <w:r>
        <w:rPr>
          <w:rStyle w:val="Voetnootmarkering"/>
        </w:rPr>
        <w:footnoteRef/>
      </w:r>
      <w:r w:rsidRPr="001C2293">
        <w:rPr>
          <w:lang w:val="nl-NL"/>
        </w:rPr>
        <w:t xml:space="preserve"> </w:t>
      </w:r>
      <w:r>
        <w:rPr>
          <w:lang w:val="nl-NL"/>
        </w:rPr>
        <w:t>Ibidem, 125.</w:t>
      </w:r>
    </w:p>
  </w:footnote>
  <w:footnote w:id="9">
    <w:p w14:paraId="4D5FD000" w14:textId="77777777" w:rsidR="00C81CC0" w:rsidRPr="00BD1AF9" w:rsidRDefault="00C81CC0" w:rsidP="00C81CC0">
      <w:pPr>
        <w:pStyle w:val="Voetnoottekst"/>
        <w:rPr>
          <w:lang w:val="nl-NL"/>
        </w:rPr>
      </w:pPr>
      <w:r>
        <w:rPr>
          <w:rStyle w:val="Voetnootmarkering"/>
        </w:rPr>
        <w:footnoteRef/>
      </w:r>
      <w:r w:rsidRPr="001C2293">
        <w:rPr>
          <w:lang w:val="nl-NL"/>
        </w:rPr>
        <w:t xml:space="preserve"> </w:t>
      </w:r>
      <w:r>
        <w:rPr>
          <w:lang w:val="nl-NL"/>
        </w:rPr>
        <w:t>Ibidem, 127-128.</w:t>
      </w:r>
    </w:p>
  </w:footnote>
  <w:footnote w:id="10">
    <w:p w14:paraId="35D913B4" w14:textId="7F439061" w:rsidR="001C2293" w:rsidRPr="001C2293" w:rsidRDefault="001C2293">
      <w:pPr>
        <w:pStyle w:val="Voetnoottekst"/>
        <w:rPr>
          <w:lang w:val="nl-NL"/>
        </w:rPr>
      </w:pPr>
      <w:r>
        <w:rPr>
          <w:rStyle w:val="Voetnootmarkering"/>
        </w:rPr>
        <w:footnoteRef/>
      </w:r>
      <w:r w:rsidRPr="001C2293">
        <w:rPr>
          <w:lang w:val="nl-NL"/>
        </w:rPr>
        <w:t xml:space="preserve"> </w:t>
      </w:r>
      <w:r w:rsidRPr="00891FAF">
        <w:rPr>
          <w:lang w:val="nl-NL"/>
        </w:rPr>
        <w:t xml:space="preserve">Albert de Jong, </w:t>
      </w:r>
      <w:r w:rsidRPr="00891FAF">
        <w:rPr>
          <w:i/>
          <w:iCs/>
          <w:lang w:val="nl-NL"/>
        </w:rPr>
        <w:t xml:space="preserve">Domela Nieuwenhuis </w:t>
      </w:r>
      <w:r w:rsidRPr="00891FAF">
        <w:rPr>
          <w:lang w:val="nl-NL"/>
        </w:rPr>
        <w:t>(Amsterdam 1981)</w:t>
      </w:r>
      <w:r>
        <w:rPr>
          <w:lang w:val="nl-NL"/>
        </w:rPr>
        <w:t xml:space="preserve"> 87-88.</w:t>
      </w:r>
    </w:p>
  </w:footnote>
  <w:footnote w:id="11">
    <w:p w14:paraId="68653901" w14:textId="19A41F12" w:rsidR="00BD1AF9" w:rsidRPr="00BD1AF9" w:rsidRDefault="00BD1AF9">
      <w:pPr>
        <w:pStyle w:val="Voetnoottekst"/>
        <w:rPr>
          <w:lang w:val="nl-NL"/>
        </w:rPr>
      </w:pPr>
      <w:r>
        <w:rPr>
          <w:rStyle w:val="Voetnootmarkering"/>
        </w:rPr>
        <w:footnoteRef/>
      </w:r>
      <w:r w:rsidRPr="001C2293">
        <w:rPr>
          <w:lang w:val="nl-NL"/>
        </w:rPr>
        <w:t xml:space="preserve"> </w:t>
      </w:r>
      <w:r w:rsidR="001C2293">
        <w:rPr>
          <w:lang w:val="nl-NL"/>
        </w:rPr>
        <w:t xml:space="preserve">Meyers, </w:t>
      </w:r>
      <w:r w:rsidR="001C2293">
        <w:rPr>
          <w:i/>
          <w:iCs/>
          <w:lang w:val="nl-NL"/>
        </w:rPr>
        <w:t>Domela</w:t>
      </w:r>
      <w:r>
        <w:rPr>
          <w:lang w:val="nl-NL"/>
        </w:rPr>
        <w:t>, 53-54.</w:t>
      </w:r>
    </w:p>
  </w:footnote>
  <w:footnote w:id="12">
    <w:p w14:paraId="750C4FD7" w14:textId="2A8F44AB" w:rsidR="00BD1AF9" w:rsidRPr="00BD1AF9" w:rsidRDefault="00BD1AF9">
      <w:pPr>
        <w:pStyle w:val="Voetnoottekst"/>
        <w:rPr>
          <w:lang w:val="nl-NL"/>
        </w:rPr>
      </w:pPr>
      <w:r>
        <w:rPr>
          <w:rStyle w:val="Voetnootmarkering"/>
        </w:rPr>
        <w:footnoteRef/>
      </w:r>
      <w:r w:rsidRPr="001C2293">
        <w:rPr>
          <w:lang w:val="nl-NL"/>
        </w:rPr>
        <w:t xml:space="preserve"> </w:t>
      </w:r>
      <w:r>
        <w:rPr>
          <w:lang w:val="nl-NL"/>
        </w:rPr>
        <w:t>Ibidem</w:t>
      </w:r>
      <w:r>
        <w:rPr>
          <w:lang w:val="nl-NL"/>
        </w:rPr>
        <w:t>, 64.</w:t>
      </w:r>
    </w:p>
  </w:footnote>
  <w:footnote w:id="13">
    <w:p w14:paraId="1A0B8575" w14:textId="63DECF60" w:rsidR="00BD1AF9" w:rsidRPr="00BD1AF9" w:rsidRDefault="00BD1AF9">
      <w:pPr>
        <w:pStyle w:val="Voetnoottekst"/>
        <w:rPr>
          <w:lang w:val="nl-NL"/>
        </w:rPr>
      </w:pPr>
      <w:r>
        <w:rPr>
          <w:rStyle w:val="Voetnootmarkering"/>
        </w:rPr>
        <w:footnoteRef/>
      </w:r>
      <w:r w:rsidRPr="001C2293">
        <w:rPr>
          <w:lang w:val="nl-NL"/>
        </w:rPr>
        <w:t xml:space="preserve"> </w:t>
      </w:r>
      <w:r>
        <w:rPr>
          <w:lang w:val="nl-NL"/>
        </w:rPr>
        <w:t>Ibidem</w:t>
      </w:r>
      <w:r>
        <w:rPr>
          <w:lang w:val="nl-NL"/>
        </w:rPr>
        <w:t>, 69.</w:t>
      </w:r>
    </w:p>
  </w:footnote>
  <w:footnote w:id="14">
    <w:p w14:paraId="6045E0F3" w14:textId="77777777" w:rsidR="00C64FCB" w:rsidRPr="00BD1AF9" w:rsidRDefault="00C64FCB" w:rsidP="00C64FCB">
      <w:pPr>
        <w:pStyle w:val="Voetnoottekst"/>
        <w:rPr>
          <w:lang w:val="nl-NL"/>
        </w:rPr>
      </w:pPr>
      <w:r>
        <w:rPr>
          <w:rStyle w:val="Voetnootmarkering"/>
        </w:rPr>
        <w:footnoteRef/>
      </w:r>
      <w:r>
        <w:t xml:space="preserve"> </w:t>
      </w:r>
      <w:r>
        <w:rPr>
          <w:lang w:val="nl-NL"/>
        </w:rPr>
        <w:t>Ibidem, 107.</w:t>
      </w:r>
    </w:p>
  </w:footnote>
  <w:footnote w:id="15">
    <w:p w14:paraId="73D3BB7E" w14:textId="77777777" w:rsidR="00C64FCB" w:rsidRPr="00BD1AF9" w:rsidRDefault="00C64FCB" w:rsidP="00C64FCB">
      <w:pPr>
        <w:pStyle w:val="Voetnoottekst"/>
        <w:rPr>
          <w:lang w:val="nl-NL"/>
        </w:rPr>
      </w:pPr>
      <w:r>
        <w:rPr>
          <w:rStyle w:val="Voetnootmarkering"/>
        </w:rPr>
        <w:footnoteRef/>
      </w:r>
      <w:r>
        <w:t xml:space="preserve"> </w:t>
      </w:r>
      <w:r>
        <w:rPr>
          <w:lang w:val="nl-NL"/>
        </w:rPr>
        <w:t>Ibidem, 111.</w:t>
      </w:r>
    </w:p>
  </w:footnote>
  <w:footnote w:id="16">
    <w:p w14:paraId="13A17E7C" w14:textId="7AA213B5" w:rsidR="005039A4" w:rsidRPr="005039A4" w:rsidRDefault="005039A4">
      <w:pPr>
        <w:pStyle w:val="Voetnoottekst"/>
        <w:rPr>
          <w:lang w:val="nl-NL"/>
        </w:rPr>
      </w:pPr>
      <w:r>
        <w:rPr>
          <w:rStyle w:val="Voetnootmarkering"/>
        </w:rPr>
        <w:footnoteRef/>
      </w:r>
      <w:r>
        <w:t xml:space="preserve"> </w:t>
      </w:r>
      <w:r>
        <w:rPr>
          <w:lang w:val="nl-NL"/>
        </w:rPr>
        <w:t>Ibidem</w:t>
      </w:r>
      <w:r>
        <w:rPr>
          <w:lang w:val="nl-NL"/>
        </w:rPr>
        <w:t>, 201-202.</w:t>
      </w:r>
    </w:p>
  </w:footnote>
  <w:footnote w:id="17">
    <w:p w14:paraId="4C444C8D" w14:textId="122EF5E0" w:rsidR="005039A4" w:rsidRPr="005039A4" w:rsidRDefault="005039A4">
      <w:pPr>
        <w:pStyle w:val="Voetnoottekst"/>
        <w:rPr>
          <w:lang w:val="nl-NL"/>
        </w:rPr>
      </w:pPr>
      <w:r>
        <w:rPr>
          <w:rStyle w:val="Voetnootmarkering"/>
        </w:rPr>
        <w:footnoteRef/>
      </w:r>
      <w:r>
        <w:t xml:space="preserve"> </w:t>
      </w:r>
      <w:r>
        <w:rPr>
          <w:lang w:val="nl-NL"/>
        </w:rPr>
        <w:t>Ibidem</w:t>
      </w:r>
      <w:r>
        <w:rPr>
          <w:lang w:val="nl-NL"/>
        </w:rPr>
        <w:t>, 211.</w:t>
      </w:r>
    </w:p>
  </w:footnote>
  <w:footnote w:id="18">
    <w:p w14:paraId="1754BC8A" w14:textId="31F17613" w:rsidR="005039A4" w:rsidRPr="005039A4" w:rsidRDefault="005039A4">
      <w:pPr>
        <w:pStyle w:val="Voetnoottekst"/>
        <w:rPr>
          <w:lang w:val="nl-NL"/>
        </w:rPr>
      </w:pPr>
      <w:r>
        <w:rPr>
          <w:rStyle w:val="Voetnootmarkering"/>
        </w:rPr>
        <w:footnoteRef/>
      </w:r>
      <w:r>
        <w:t xml:space="preserve"> </w:t>
      </w:r>
      <w:r>
        <w:rPr>
          <w:lang w:val="nl-NL"/>
        </w:rPr>
        <w:t>Ibidem</w:t>
      </w:r>
      <w:r>
        <w:rPr>
          <w:lang w:val="nl-NL"/>
        </w:rPr>
        <w:t>, 217.</w:t>
      </w:r>
    </w:p>
  </w:footnote>
  <w:footnote w:id="19">
    <w:p w14:paraId="480845B0" w14:textId="6EEC9FB6" w:rsidR="005039A4" w:rsidRPr="005039A4" w:rsidRDefault="005039A4">
      <w:pPr>
        <w:pStyle w:val="Voetnoottekst"/>
        <w:rPr>
          <w:lang w:val="nl-NL"/>
        </w:rPr>
      </w:pPr>
      <w:r>
        <w:rPr>
          <w:rStyle w:val="Voetnootmarkering"/>
        </w:rPr>
        <w:footnoteRef/>
      </w:r>
      <w:r>
        <w:t xml:space="preserve"> </w:t>
      </w:r>
      <w:r>
        <w:rPr>
          <w:lang w:val="nl-NL"/>
        </w:rPr>
        <w:t>Ibidem</w:t>
      </w:r>
      <w:r>
        <w:rPr>
          <w:lang w:val="nl-NL"/>
        </w:rPr>
        <w:t>, 275.</w:t>
      </w:r>
    </w:p>
  </w:footnote>
  <w:footnote w:id="20">
    <w:p w14:paraId="5C9B0880" w14:textId="6623570B" w:rsidR="005039A4" w:rsidRPr="005039A4" w:rsidRDefault="005039A4">
      <w:pPr>
        <w:pStyle w:val="Voetnoottekst"/>
        <w:rPr>
          <w:lang w:val="nl-NL"/>
        </w:rPr>
      </w:pPr>
      <w:r>
        <w:rPr>
          <w:rStyle w:val="Voetnootmarkering"/>
        </w:rPr>
        <w:footnoteRef/>
      </w:r>
      <w:r>
        <w:t xml:space="preserve"> </w:t>
      </w:r>
      <w:r>
        <w:rPr>
          <w:lang w:val="nl-NL"/>
        </w:rPr>
        <w:t>Ibidem</w:t>
      </w:r>
      <w:r>
        <w:rPr>
          <w:lang w:val="nl-NL"/>
        </w:rPr>
        <w:t>, 337.</w:t>
      </w:r>
    </w:p>
  </w:footnote>
  <w:footnote w:id="21">
    <w:p w14:paraId="4C056A38" w14:textId="6A1F6E88" w:rsidR="005039A4" w:rsidRPr="005039A4" w:rsidRDefault="005039A4">
      <w:pPr>
        <w:pStyle w:val="Voetnoottekst"/>
        <w:rPr>
          <w:lang w:val="nl-NL"/>
        </w:rPr>
      </w:pPr>
      <w:r>
        <w:rPr>
          <w:rStyle w:val="Voetnootmarkering"/>
        </w:rPr>
        <w:footnoteRef/>
      </w:r>
      <w:r>
        <w:t xml:space="preserve"> </w:t>
      </w:r>
      <w:r>
        <w:rPr>
          <w:lang w:val="nl-NL"/>
        </w:rPr>
        <w:t>Ibidem</w:t>
      </w:r>
      <w:r>
        <w:rPr>
          <w:lang w:val="nl-NL"/>
        </w:rPr>
        <w:t>, 371.</w:t>
      </w:r>
    </w:p>
  </w:footnote>
  <w:footnote w:id="22">
    <w:p w14:paraId="0E0D446C" w14:textId="77777777" w:rsidR="005F6DD1" w:rsidRPr="00BD1AF9" w:rsidRDefault="005F6DD1" w:rsidP="005F6DD1">
      <w:pPr>
        <w:pStyle w:val="Voetnoottekst"/>
        <w:rPr>
          <w:lang w:val="nl-NL"/>
        </w:rPr>
      </w:pPr>
      <w:r>
        <w:rPr>
          <w:rStyle w:val="Voetnootmarkering"/>
        </w:rPr>
        <w:footnoteRef/>
      </w:r>
      <w:r w:rsidRPr="00C81CC0">
        <w:rPr>
          <w:lang w:val="nl-NL"/>
        </w:rPr>
        <w:t xml:space="preserve"> </w:t>
      </w:r>
      <w:r>
        <w:rPr>
          <w:lang w:val="nl-NL"/>
        </w:rPr>
        <w:t>Ibidem, 73.</w:t>
      </w:r>
    </w:p>
  </w:footnote>
  <w:footnote w:id="23">
    <w:p w14:paraId="2E069DFB" w14:textId="77777777" w:rsidR="005F6DD1" w:rsidRPr="00BD1AF9" w:rsidRDefault="005F6DD1" w:rsidP="005F6DD1">
      <w:pPr>
        <w:pStyle w:val="Voetnoottekst"/>
        <w:rPr>
          <w:lang w:val="nl-NL"/>
        </w:rPr>
      </w:pPr>
      <w:r>
        <w:rPr>
          <w:rStyle w:val="Voetnootmarkering"/>
        </w:rPr>
        <w:footnoteRef/>
      </w:r>
      <w:r w:rsidRPr="00C81CC0">
        <w:rPr>
          <w:lang w:val="nl-NL"/>
        </w:rPr>
        <w:t xml:space="preserve"> </w:t>
      </w:r>
      <w:r>
        <w:rPr>
          <w:lang w:val="nl-NL"/>
        </w:rPr>
        <w:t>Ibidem, 74.</w:t>
      </w:r>
    </w:p>
  </w:footnote>
  <w:footnote w:id="24">
    <w:p w14:paraId="0DCD2F7D" w14:textId="54D38950" w:rsidR="00E44895" w:rsidRPr="00E44895" w:rsidRDefault="00E44895" w:rsidP="00E44895">
      <w:pPr>
        <w:rPr>
          <w:lang w:val="nl-NL"/>
        </w:rPr>
      </w:pPr>
      <w:r w:rsidRPr="00891FAF">
        <w:rPr>
          <w:rStyle w:val="Voetnootmarkering"/>
          <w:sz w:val="20"/>
          <w:szCs w:val="20"/>
        </w:rPr>
        <w:footnoteRef/>
      </w:r>
      <w:r w:rsidRPr="00891FAF">
        <w:rPr>
          <w:sz w:val="20"/>
          <w:szCs w:val="20"/>
          <w:lang w:val="nl-NL"/>
        </w:rPr>
        <w:t xml:space="preserve"> </w:t>
      </w:r>
      <w:r w:rsidRPr="00891FAF">
        <w:rPr>
          <w:sz w:val="20"/>
          <w:szCs w:val="20"/>
          <w:lang w:val="nl-NL"/>
        </w:rPr>
        <w:t>Albert</w:t>
      </w:r>
      <w:r w:rsidR="00C12997" w:rsidRPr="00891FAF">
        <w:rPr>
          <w:sz w:val="20"/>
          <w:szCs w:val="20"/>
          <w:lang w:val="nl-NL"/>
        </w:rPr>
        <w:t xml:space="preserve"> de Jong</w:t>
      </w:r>
      <w:r w:rsidRPr="00891FAF">
        <w:rPr>
          <w:sz w:val="20"/>
          <w:szCs w:val="20"/>
          <w:lang w:val="nl-NL"/>
        </w:rPr>
        <w:t xml:space="preserve">, </w:t>
      </w:r>
      <w:r w:rsidRPr="00891FAF">
        <w:rPr>
          <w:i/>
          <w:iCs/>
          <w:sz w:val="20"/>
          <w:szCs w:val="20"/>
          <w:lang w:val="nl-NL"/>
        </w:rPr>
        <w:t xml:space="preserve">Domela Nieuwenhuis </w:t>
      </w:r>
      <w:r w:rsidRPr="00891FAF">
        <w:rPr>
          <w:sz w:val="20"/>
          <w:szCs w:val="20"/>
          <w:lang w:val="nl-NL"/>
        </w:rPr>
        <w:t>(Amsterdam 1981)</w:t>
      </w:r>
      <w:r w:rsidR="00C12997" w:rsidRPr="00891FAF">
        <w:rPr>
          <w:sz w:val="20"/>
          <w:szCs w:val="20"/>
          <w:lang w:val="nl-NL"/>
        </w:rPr>
        <w:t xml:space="preserve"> 33-34</w:t>
      </w:r>
      <w:r w:rsidRPr="00891FAF">
        <w:rPr>
          <w:sz w:val="20"/>
          <w:szCs w:val="20"/>
          <w:lang w:val="nl-NL"/>
        </w:rPr>
        <w:t xml:space="preserve">. </w:t>
      </w:r>
    </w:p>
  </w:footnote>
  <w:footnote w:id="25">
    <w:p w14:paraId="467263A8" w14:textId="24EA091C" w:rsidR="009471EA" w:rsidRPr="009471EA" w:rsidRDefault="009471EA">
      <w:pPr>
        <w:pStyle w:val="Voetnoottekst"/>
        <w:rPr>
          <w:lang w:val="nl-NL"/>
        </w:rPr>
      </w:pPr>
      <w:r>
        <w:rPr>
          <w:rStyle w:val="Voetnootmarkering"/>
        </w:rPr>
        <w:footnoteRef/>
      </w:r>
      <w:r>
        <w:t xml:space="preserve"> </w:t>
      </w:r>
      <w:r>
        <w:rPr>
          <w:lang w:val="nl-NL"/>
        </w:rPr>
        <w:t xml:space="preserve">De Jong, </w:t>
      </w:r>
      <w:r>
        <w:rPr>
          <w:i/>
          <w:iCs/>
          <w:lang w:val="nl-NL"/>
        </w:rPr>
        <w:t>Domela Nieuwenhuis</w:t>
      </w:r>
      <w:r>
        <w:rPr>
          <w:lang w:val="nl-NL"/>
        </w:rPr>
        <w:t>, 34.</w:t>
      </w:r>
    </w:p>
  </w:footnote>
  <w:footnote w:id="26">
    <w:p w14:paraId="4E4B733E" w14:textId="659345B1" w:rsidR="001C2293" w:rsidRPr="001C2293" w:rsidRDefault="001C2293">
      <w:pPr>
        <w:pStyle w:val="Voetnoottekst"/>
        <w:rPr>
          <w:lang w:val="nl-NL"/>
        </w:rPr>
      </w:pPr>
      <w:r>
        <w:rPr>
          <w:rStyle w:val="Voetnootmarkering"/>
        </w:rPr>
        <w:footnoteRef/>
      </w:r>
      <w:r>
        <w:t xml:space="preserve"> </w:t>
      </w:r>
      <w:r>
        <w:rPr>
          <w:lang w:val="nl-NL"/>
        </w:rPr>
        <w:t>Ibidem, 42.</w:t>
      </w:r>
    </w:p>
  </w:footnote>
  <w:footnote w:id="27">
    <w:p w14:paraId="6CA2F85F" w14:textId="00F9891D" w:rsidR="00C66F25" w:rsidRPr="00C66F25" w:rsidRDefault="00C66F25">
      <w:pPr>
        <w:pStyle w:val="Voetnoottekst"/>
        <w:rPr>
          <w:lang w:val="nl-NL"/>
        </w:rPr>
      </w:pPr>
      <w:r>
        <w:rPr>
          <w:rStyle w:val="Voetnootmarkering"/>
        </w:rPr>
        <w:footnoteRef/>
      </w:r>
      <w:r w:rsidRPr="00C66F25">
        <w:rPr>
          <w:lang w:val="nl-NL"/>
        </w:rPr>
        <w:t xml:space="preserve"> </w:t>
      </w:r>
      <w:r>
        <w:rPr>
          <w:lang w:val="nl-NL"/>
        </w:rPr>
        <w:t xml:space="preserve">Ferdinand Domela Nieuwenhuis, </w:t>
      </w:r>
      <w:r>
        <w:rPr>
          <w:i/>
          <w:iCs/>
          <w:lang w:val="nl-NL"/>
        </w:rPr>
        <w:t xml:space="preserve">Van christen tot anarchist </w:t>
      </w:r>
      <w:r>
        <w:rPr>
          <w:lang w:val="nl-NL"/>
        </w:rPr>
        <w:t>(Amsterdam 1910) 234.</w:t>
      </w:r>
    </w:p>
  </w:footnote>
  <w:footnote w:id="28">
    <w:p w14:paraId="06997EB4" w14:textId="5AD3960F" w:rsidR="00C66F25" w:rsidRPr="00C66F25" w:rsidRDefault="00C66F25">
      <w:pPr>
        <w:pStyle w:val="Voetnoottekst"/>
        <w:rPr>
          <w:lang w:val="nl-NL"/>
        </w:rPr>
      </w:pPr>
      <w:r>
        <w:rPr>
          <w:rStyle w:val="Voetnootmarkering"/>
        </w:rPr>
        <w:footnoteRef/>
      </w:r>
      <w:r>
        <w:t xml:space="preserve"> </w:t>
      </w:r>
      <w:r>
        <w:rPr>
          <w:lang w:val="nl-NL"/>
        </w:rPr>
        <w:t xml:space="preserve">Nieuwenhuis, </w:t>
      </w:r>
      <w:r>
        <w:rPr>
          <w:i/>
          <w:iCs/>
          <w:lang w:val="nl-NL"/>
        </w:rPr>
        <w:t>christen</w:t>
      </w:r>
      <w:r>
        <w:rPr>
          <w:lang w:val="nl-NL"/>
        </w:rPr>
        <w:t>, 235.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AF0"/>
    <w:rsid w:val="00057D96"/>
    <w:rsid w:val="00080A98"/>
    <w:rsid w:val="001118DA"/>
    <w:rsid w:val="00152BFE"/>
    <w:rsid w:val="00196FB4"/>
    <w:rsid w:val="001A11DD"/>
    <w:rsid w:val="001A782E"/>
    <w:rsid w:val="001C2293"/>
    <w:rsid w:val="001F5766"/>
    <w:rsid w:val="00260300"/>
    <w:rsid w:val="00275F19"/>
    <w:rsid w:val="002A35D8"/>
    <w:rsid w:val="002A55B1"/>
    <w:rsid w:val="002A7759"/>
    <w:rsid w:val="0030285C"/>
    <w:rsid w:val="003165D9"/>
    <w:rsid w:val="00327823"/>
    <w:rsid w:val="00352027"/>
    <w:rsid w:val="003558D6"/>
    <w:rsid w:val="0036504C"/>
    <w:rsid w:val="00377D76"/>
    <w:rsid w:val="00392FEC"/>
    <w:rsid w:val="003F19C9"/>
    <w:rsid w:val="00474993"/>
    <w:rsid w:val="004D6F45"/>
    <w:rsid w:val="005039A4"/>
    <w:rsid w:val="005320B4"/>
    <w:rsid w:val="00562891"/>
    <w:rsid w:val="00567C0E"/>
    <w:rsid w:val="005B631D"/>
    <w:rsid w:val="005F6DD1"/>
    <w:rsid w:val="00621645"/>
    <w:rsid w:val="0062501C"/>
    <w:rsid w:val="00630DC4"/>
    <w:rsid w:val="0066238B"/>
    <w:rsid w:val="00693721"/>
    <w:rsid w:val="00792239"/>
    <w:rsid w:val="007C4F39"/>
    <w:rsid w:val="00803F8B"/>
    <w:rsid w:val="00837AFE"/>
    <w:rsid w:val="008463DC"/>
    <w:rsid w:val="00891FAF"/>
    <w:rsid w:val="009329C3"/>
    <w:rsid w:val="009471EA"/>
    <w:rsid w:val="009536F2"/>
    <w:rsid w:val="009730CF"/>
    <w:rsid w:val="009A0FE3"/>
    <w:rsid w:val="00A8248B"/>
    <w:rsid w:val="00A85499"/>
    <w:rsid w:val="00AB735B"/>
    <w:rsid w:val="00AD0694"/>
    <w:rsid w:val="00B418AA"/>
    <w:rsid w:val="00B92D44"/>
    <w:rsid w:val="00B976EC"/>
    <w:rsid w:val="00BD1AF9"/>
    <w:rsid w:val="00BE6515"/>
    <w:rsid w:val="00C02CCF"/>
    <w:rsid w:val="00C12997"/>
    <w:rsid w:val="00C64FCB"/>
    <w:rsid w:val="00C66F25"/>
    <w:rsid w:val="00C81CC0"/>
    <w:rsid w:val="00CD2816"/>
    <w:rsid w:val="00CE75C9"/>
    <w:rsid w:val="00D23AAD"/>
    <w:rsid w:val="00D339B8"/>
    <w:rsid w:val="00D538FB"/>
    <w:rsid w:val="00D74644"/>
    <w:rsid w:val="00D853BD"/>
    <w:rsid w:val="00DD3031"/>
    <w:rsid w:val="00E06AF0"/>
    <w:rsid w:val="00E44895"/>
    <w:rsid w:val="00ED252F"/>
    <w:rsid w:val="00ED30B4"/>
    <w:rsid w:val="00ED51BF"/>
    <w:rsid w:val="00ED5B15"/>
    <w:rsid w:val="00ED7954"/>
    <w:rsid w:val="00F85B14"/>
    <w:rsid w:val="00F92E9C"/>
    <w:rsid w:val="00FD5C05"/>
    <w:rsid w:val="00FD6E0D"/>
    <w:rsid w:val="00FE557A"/>
    <w:rsid w:val="00FF61A7"/>
    <w:rsid w:val="00FF7F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C5752"/>
  <w15:chartTrackingRefBased/>
  <w15:docId w15:val="{E7D05650-820F-4593-83CA-BEE3D9A7E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AD0694"/>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D0694"/>
    <w:rPr>
      <w:sz w:val="20"/>
      <w:szCs w:val="20"/>
      <w:lang w:val="en-GB"/>
    </w:rPr>
  </w:style>
  <w:style w:type="character" w:styleId="Voetnootmarkering">
    <w:name w:val="footnote reference"/>
    <w:basedOn w:val="Standaardalinea-lettertype"/>
    <w:uiPriority w:val="99"/>
    <w:semiHidden/>
    <w:unhideWhenUsed/>
    <w:rsid w:val="00AD069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7F499-B19A-4DBD-ACE5-420F55C56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4</Pages>
  <Words>1389</Words>
  <Characters>7645</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 J. van der (Jesper)</dc:creator>
  <cp:keywords/>
  <dc:description/>
  <cp:lastModifiedBy>Most, J. van der (Jesper)</cp:lastModifiedBy>
  <cp:revision>73</cp:revision>
  <dcterms:created xsi:type="dcterms:W3CDTF">2022-06-24T17:29:00Z</dcterms:created>
  <dcterms:modified xsi:type="dcterms:W3CDTF">2022-06-25T15:40:00Z</dcterms:modified>
</cp:coreProperties>
</file>