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BE40" w14:textId="249F6553" w:rsidR="00EB7FCB" w:rsidRDefault="00EB7FCB">
      <w:pPr>
        <w:rPr>
          <w:b/>
          <w:bCs/>
          <w:lang w:val="nl-NL"/>
        </w:rPr>
      </w:pPr>
      <w:r w:rsidRPr="001B6999">
        <w:rPr>
          <w:b/>
          <w:bCs/>
          <w:lang w:val="nl-NL"/>
        </w:rPr>
        <w:t xml:space="preserve">P.J.M. </w:t>
      </w:r>
      <w:proofErr w:type="spellStart"/>
      <w:r w:rsidR="008B1ABA" w:rsidRPr="001B6999">
        <w:rPr>
          <w:b/>
          <w:bCs/>
          <w:lang w:val="nl-NL"/>
        </w:rPr>
        <w:t>Aalberse</w:t>
      </w:r>
      <w:proofErr w:type="spellEnd"/>
      <w:r w:rsidRPr="001B6999">
        <w:rPr>
          <w:b/>
          <w:bCs/>
          <w:lang w:val="nl-NL"/>
        </w:rPr>
        <w:t xml:space="preserve"> (1871-1948)</w:t>
      </w:r>
    </w:p>
    <w:p w14:paraId="11FEE005" w14:textId="79E4E280" w:rsidR="00E2399B" w:rsidRDefault="00E2399B">
      <w:pPr>
        <w:rPr>
          <w:b/>
          <w:bCs/>
          <w:lang w:val="nl-NL"/>
        </w:rPr>
      </w:pPr>
    </w:p>
    <w:p w14:paraId="5CD23BAA" w14:textId="5CEF2E40" w:rsidR="00E2399B" w:rsidRPr="001B6999" w:rsidRDefault="00E2399B">
      <w:pPr>
        <w:rPr>
          <w:b/>
          <w:bCs/>
          <w:lang w:val="nl-NL"/>
        </w:rPr>
      </w:pPr>
      <w:r>
        <w:rPr>
          <w:b/>
          <w:bCs/>
          <w:lang w:val="nl-NL"/>
        </w:rPr>
        <w:t>Biografie</w:t>
      </w:r>
    </w:p>
    <w:p w14:paraId="1B640DC4" w14:textId="4A42BE5F" w:rsidR="00492129" w:rsidRDefault="00815E89">
      <w:pPr>
        <w:rPr>
          <w:lang w:val="nl-NL"/>
        </w:rPr>
      </w:pPr>
      <w:r>
        <w:rPr>
          <w:lang w:val="nl-NL"/>
        </w:rPr>
        <w:t xml:space="preserve">De familie </w:t>
      </w:r>
      <w:proofErr w:type="spellStart"/>
      <w:r>
        <w:rPr>
          <w:lang w:val="nl-NL"/>
        </w:rPr>
        <w:t>Aalberse</w:t>
      </w:r>
      <w:proofErr w:type="spellEnd"/>
      <w:r>
        <w:rPr>
          <w:lang w:val="nl-NL"/>
        </w:rPr>
        <w:t xml:space="preserve"> vestigde zich eind zeventiende eeuw in Leiden. Als rokjeswerkers en wijnmerkers behoorden zij tot de lage burgerij. Via een huwelijk met een winkelierster kwam Petrus Josephus Mattheus </w:t>
      </w:r>
      <w:proofErr w:type="spellStart"/>
      <w:r>
        <w:rPr>
          <w:lang w:val="nl-NL"/>
        </w:rPr>
        <w:t>Aelberse</w:t>
      </w:r>
      <w:proofErr w:type="spellEnd"/>
      <w:r>
        <w:rPr>
          <w:lang w:val="nl-NL"/>
        </w:rPr>
        <w:t xml:space="preserve"> in de middenstand terecht. Over zijn ouders is weinig bekend, maar zij waren niet vooraanstaand.</w:t>
      </w:r>
      <w:r w:rsidR="001B6999">
        <w:rPr>
          <w:rStyle w:val="Voetnootmarkering"/>
          <w:lang w:val="nl-NL"/>
        </w:rPr>
        <w:footnoteReference w:id="1"/>
      </w:r>
    </w:p>
    <w:p w14:paraId="15055828" w14:textId="39F3BA3A" w:rsidR="000B1C96" w:rsidRDefault="00492129">
      <w:pPr>
        <w:rPr>
          <w:lang w:val="nl-NL"/>
        </w:rPr>
      </w:pPr>
      <w:r>
        <w:rPr>
          <w:lang w:val="nl-NL"/>
        </w:rPr>
        <w:t xml:space="preserve">Hij ging naar de Openbare School in Leiden, en daarna in 1885 naar het College van de Paters </w:t>
      </w:r>
      <w:proofErr w:type="spellStart"/>
      <w:r>
        <w:rPr>
          <w:lang w:val="nl-NL"/>
        </w:rPr>
        <w:t>Jezuïten</w:t>
      </w:r>
      <w:proofErr w:type="spellEnd"/>
      <w:r>
        <w:rPr>
          <w:lang w:val="nl-NL"/>
        </w:rPr>
        <w:t xml:space="preserve"> in Katwijk.</w:t>
      </w:r>
      <w:r w:rsidR="005A4FBB">
        <w:rPr>
          <w:rStyle w:val="Voetnootmarkering"/>
          <w:lang w:val="nl-NL"/>
        </w:rPr>
        <w:footnoteReference w:id="2"/>
      </w:r>
      <w:r w:rsidR="00C06A4E">
        <w:rPr>
          <w:lang w:val="nl-NL"/>
        </w:rPr>
        <w:t xml:space="preserve"> Hij kwam als student van de Nederlandse Letteren in 1891 terecht bij de Universiteit Leiden.</w:t>
      </w:r>
      <w:r w:rsidR="005A4FBB">
        <w:rPr>
          <w:rStyle w:val="Voetnootmarkering"/>
          <w:lang w:val="nl-NL"/>
        </w:rPr>
        <w:footnoteReference w:id="3"/>
      </w:r>
      <w:r w:rsidR="00026D42">
        <w:rPr>
          <w:lang w:val="nl-NL"/>
        </w:rPr>
        <w:t xml:space="preserve"> Al snel ging hij rechtswetenschappen studeren. Hij had het gevoel dat er met katholicisme niet genoeg rekening werd gehouden</w:t>
      </w:r>
      <w:r w:rsidR="00E2399B">
        <w:rPr>
          <w:lang w:val="nl-NL"/>
        </w:rPr>
        <w:t>.</w:t>
      </w:r>
      <w:r w:rsidR="005A4FBB">
        <w:rPr>
          <w:rStyle w:val="Voetnootmarkering"/>
          <w:lang w:val="nl-NL"/>
        </w:rPr>
        <w:footnoteReference w:id="4"/>
      </w:r>
      <w:r w:rsidR="00C01B0A">
        <w:rPr>
          <w:lang w:val="nl-NL"/>
        </w:rPr>
        <w:t xml:space="preserve"> Voor rechten haalde hij in 1895 het kandidaatsexamen, en in 1897 zijn doctoraaldiploma</w:t>
      </w:r>
      <w:r w:rsidR="004C7BE5">
        <w:rPr>
          <w:lang w:val="nl-NL"/>
        </w:rPr>
        <w:t>, over het vraagstuk van oneerlijke concurrentie</w:t>
      </w:r>
      <w:r w:rsidR="00C01B0A">
        <w:rPr>
          <w:lang w:val="nl-NL"/>
        </w:rPr>
        <w:t>.</w:t>
      </w:r>
      <w:r w:rsidR="005A4FBB">
        <w:rPr>
          <w:rStyle w:val="Voetnootmarkering"/>
          <w:lang w:val="nl-NL"/>
        </w:rPr>
        <w:footnoteReference w:id="5"/>
      </w:r>
    </w:p>
    <w:p w14:paraId="58FCDE0C" w14:textId="6E62AF5E" w:rsidR="00B50B84" w:rsidRDefault="007133A8">
      <w:pPr>
        <w:rPr>
          <w:lang w:val="nl-NL"/>
        </w:rPr>
      </w:pPr>
      <w:r>
        <w:rPr>
          <w:lang w:val="nl-NL"/>
        </w:rPr>
        <w:t>In 1897 opende hij zijn advocatenkantoor. Hij was werkzaam als advocaat (dé advocaat van de boeren uit de Rijnstreek) tot zijn benoeming als hoogleraar te Delft (1916).</w:t>
      </w:r>
      <w:r w:rsidR="005A4FBB">
        <w:rPr>
          <w:rStyle w:val="Voetnootmarkering"/>
          <w:lang w:val="nl-NL"/>
        </w:rPr>
        <w:footnoteReference w:id="6"/>
      </w:r>
      <w:r w:rsidR="00A313BD">
        <w:rPr>
          <w:lang w:val="nl-NL"/>
        </w:rPr>
        <w:t xml:space="preserve"> Zijn politieke loopbaan begon hij in de gemeenteraad van Leiden (1899).</w:t>
      </w:r>
      <w:r w:rsidR="005A4FBB">
        <w:rPr>
          <w:rStyle w:val="Voetnootmarkering"/>
          <w:lang w:val="nl-NL"/>
        </w:rPr>
        <w:footnoteReference w:id="7"/>
      </w:r>
      <w:r w:rsidR="00A313BD">
        <w:rPr>
          <w:lang w:val="nl-NL"/>
        </w:rPr>
        <w:t xml:space="preserve"> </w:t>
      </w:r>
      <w:r w:rsidR="00542C82">
        <w:rPr>
          <w:lang w:val="nl-NL"/>
        </w:rPr>
        <w:t>Hier ontpopte hij zich als ‘een grote stuwer en bouwer van sociale wetgeving’.</w:t>
      </w:r>
      <w:r w:rsidR="005A4FBB">
        <w:rPr>
          <w:rStyle w:val="Voetnootmarkering"/>
          <w:lang w:val="nl-NL"/>
        </w:rPr>
        <w:footnoteReference w:id="8"/>
      </w:r>
      <w:r w:rsidR="00E2399B">
        <w:rPr>
          <w:lang w:val="nl-NL"/>
        </w:rPr>
        <w:t xml:space="preserve"> </w:t>
      </w:r>
      <w:proofErr w:type="spellStart"/>
      <w:r w:rsidR="00856ACC">
        <w:rPr>
          <w:lang w:val="nl-NL"/>
        </w:rPr>
        <w:t>Aalberse</w:t>
      </w:r>
      <w:proofErr w:type="spellEnd"/>
      <w:r w:rsidR="00856ACC">
        <w:rPr>
          <w:lang w:val="nl-NL"/>
        </w:rPr>
        <w:t xml:space="preserve"> </w:t>
      </w:r>
      <w:r w:rsidR="008769D0">
        <w:rPr>
          <w:lang w:val="nl-NL"/>
        </w:rPr>
        <w:t>richtte in 1901 het Katholiek Sociaal Weekblad op: ‘het doel van het blad zou moeten zijn mannen in sociaal-economie en sociale wetgeving te onderrichten.’</w:t>
      </w:r>
      <w:r w:rsidR="005A4FBB">
        <w:rPr>
          <w:rStyle w:val="Voetnootmarkering"/>
          <w:lang w:val="nl-NL"/>
        </w:rPr>
        <w:footnoteReference w:id="9"/>
      </w:r>
      <w:r w:rsidR="008769D0">
        <w:rPr>
          <w:lang w:val="nl-NL"/>
        </w:rPr>
        <w:t xml:space="preserve"> </w:t>
      </w:r>
      <w:r w:rsidR="00E2399B">
        <w:rPr>
          <w:lang w:val="nl-NL"/>
        </w:rPr>
        <w:t>Hij</w:t>
      </w:r>
      <w:r w:rsidR="00B50B84">
        <w:rPr>
          <w:lang w:val="nl-NL"/>
        </w:rPr>
        <w:t xml:space="preserve"> was toonaangevend in de zogenaamde Leidse School, de sociale beweging onder de katholieken in Nederland.</w:t>
      </w:r>
      <w:r w:rsidR="005A4FBB">
        <w:rPr>
          <w:rStyle w:val="Voetnootmarkering"/>
          <w:lang w:val="nl-NL"/>
        </w:rPr>
        <w:footnoteReference w:id="10"/>
      </w:r>
      <w:r w:rsidR="00B50B84">
        <w:rPr>
          <w:lang w:val="nl-NL"/>
        </w:rPr>
        <w:t xml:space="preserve"> Hij heeft geen duidelijke leer uitgestippeld, maar uit verschillende geschriften maakt </w:t>
      </w:r>
      <w:r w:rsidR="00E2399B">
        <w:rPr>
          <w:lang w:val="nl-NL"/>
        </w:rPr>
        <w:t xml:space="preserve">biograaf </w:t>
      </w:r>
      <w:proofErr w:type="spellStart"/>
      <w:r w:rsidR="00B50B84">
        <w:rPr>
          <w:lang w:val="nl-NL"/>
        </w:rPr>
        <w:t>Gribling</w:t>
      </w:r>
      <w:proofErr w:type="spellEnd"/>
      <w:r w:rsidR="00B50B84">
        <w:rPr>
          <w:lang w:val="nl-NL"/>
        </w:rPr>
        <w:t xml:space="preserve"> het volgende op:</w:t>
      </w:r>
    </w:p>
    <w:p w14:paraId="776AE536" w14:textId="77777777" w:rsidR="00E2399B" w:rsidRDefault="00B50B84" w:rsidP="00E2399B">
      <w:pPr>
        <w:ind w:left="708"/>
        <w:rPr>
          <w:lang w:val="nl-NL"/>
        </w:rPr>
      </w:pPr>
      <w:r>
        <w:rPr>
          <w:lang w:val="nl-NL"/>
        </w:rPr>
        <w:t>‘Ieder individu heeft wel het recht vrij te handelen, maar het heeft ook sociale plichten. Het particuliere belang kan in botsing komen met het algemene belang en in dat geval is het eerste ondergeschikt aan het tweede.’</w:t>
      </w:r>
      <w:r w:rsidR="005A4FBB">
        <w:rPr>
          <w:rStyle w:val="Voetnootmarkering"/>
          <w:lang w:val="nl-NL"/>
        </w:rPr>
        <w:footnoteReference w:id="11"/>
      </w:r>
      <w:r w:rsidR="00457912">
        <w:rPr>
          <w:lang w:val="nl-NL"/>
        </w:rPr>
        <w:t xml:space="preserve"> </w:t>
      </w:r>
    </w:p>
    <w:p w14:paraId="588A1915" w14:textId="326F8463" w:rsidR="00B50B84" w:rsidRDefault="00E2399B" w:rsidP="00E2399B">
      <w:pPr>
        <w:rPr>
          <w:lang w:val="nl-NL"/>
        </w:rPr>
      </w:pPr>
      <w:r>
        <w:rPr>
          <w:lang w:val="nl-NL"/>
        </w:rPr>
        <w:t>V</w:t>
      </w:r>
      <w:r w:rsidR="00457912">
        <w:rPr>
          <w:lang w:val="nl-NL"/>
        </w:rPr>
        <w:t xml:space="preserve">akorganisaties vormen voor </w:t>
      </w:r>
      <w:proofErr w:type="spellStart"/>
      <w:r w:rsidR="00457912">
        <w:rPr>
          <w:lang w:val="nl-NL"/>
        </w:rPr>
        <w:t>Aalberse</w:t>
      </w:r>
      <w:proofErr w:type="spellEnd"/>
      <w:r w:rsidR="00457912">
        <w:rPr>
          <w:lang w:val="nl-NL"/>
        </w:rPr>
        <w:t xml:space="preserve"> de grondslag van het systeem; de daaruit voortvloeiende ordering van de maatschappij naar beroepsstanden zal oneerlijke concurrentie tegengaan en sociale gelijkheid bevorderen.</w:t>
      </w:r>
      <w:r w:rsidR="00636991">
        <w:rPr>
          <w:lang w:val="nl-NL"/>
        </w:rPr>
        <w:t xml:space="preserve"> Natuurlijk had deze geordende maatschappij een christelijk karakter.</w:t>
      </w:r>
      <w:r w:rsidR="005A4FBB">
        <w:rPr>
          <w:rStyle w:val="Voetnootmarkering"/>
          <w:lang w:val="nl-NL"/>
        </w:rPr>
        <w:footnoteReference w:id="12"/>
      </w:r>
    </w:p>
    <w:p w14:paraId="7B368BF9" w14:textId="76A4D0A1" w:rsidR="00E2399B" w:rsidRDefault="00E2399B" w:rsidP="00E2399B">
      <w:pPr>
        <w:rPr>
          <w:lang w:val="nl-NL"/>
        </w:rPr>
      </w:pPr>
    </w:p>
    <w:p w14:paraId="2BE4B663" w14:textId="22F57E94" w:rsidR="00E2399B" w:rsidRPr="00E2399B" w:rsidRDefault="00E2399B" w:rsidP="00E2399B">
      <w:pPr>
        <w:rPr>
          <w:b/>
          <w:bCs/>
          <w:lang w:val="nl-NL"/>
        </w:rPr>
      </w:pPr>
      <w:r>
        <w:rPr>
          <w:b/>
          <w:bCs/>
          <w:lang w:val="nl-NL"/>
        </w:rPr>
        <w:t>Intrede in de Tweede Kamer</w:t>
      </w:r>
    </w:p>
    <w:p w14:paraId="3C9FF7E1" w14:textId="4FF7EBFA" w:rsidR="00E2399B" w:rsidRDefault="0013419B" w:rsidP="00E2399B">
      <w:pPr>
        <w:rPr>
          <w:lang w:val="nl-NL"/>
        </w:rPr>
      </w:pPr>
      <w:r>
        <w:rPr>
          <w:lang w:val="nl-NL"/>
        </w:rPr>
        <w:lastRenderedPageBreak/>
        <w:t xml:space="preserve">24 februari 1903 deed </w:t>
      </w:r>
      <w:proofErr w:type="spellStart"/>
      <w:r>
        <w:rPr>
          <w:lang w:val="nl-NL"/>
        </w:rPr>
        <w:t>Aalberse</w:t>
      </w:r>
      <w:proofErr w:type="spellEnd"/>
      <w:r>
        <w:rPr>
          <w:lang w:val="nl-NL"/>
        </w:rPr>
        <w:t xml:space="preserve"> zijn intrede in de Tweede Kamer.</w:t>
      </w:r>
      <w:r w:rsidR="005A4FBB">
        <w:rPr>
          <w:rStyle w:val="Voetnootmarkering"/>
          <w:lang w:val="nl-NL"/>
        </w:rPr>
        <w:footnoteReference w:id="13"/>
      </w:r>
      <w:r w:rsidR="00E2399B" w:rsidRPr="00E2399B">
        <w:rPr>
          <w:lang w:val="nl-NL"/>
        </w:rPr>
        <w:t xml:space="preserve"> </w:t>
      </w:r>
      <w:r w:rsidR="00E2399B">
        <w:rPr>
          <w:lang w:val="nl-NL"/>
        </w:rPr>
        <w:t xml:space="preserve">Op 26 september 1918 werd </w:t>
      </w:r>
      <w:proofErr w:type="spellStart"/>
      <w:r w:rsidR="00E2399B">
        <w:rPr>
          <w:lang w:val="nl-NL"/>
        </w:rPr>
        <w:t>Aalberse</w:t>
      </w:r>
      <w:proofErr w:type="spellEnd"/>
      <w:r w:rsidR="00E2399B">
        <w:rPr>
          <w:lang w:val="nl-NL"/>
        </w:rPr>
        <w:t xml:space="preserve"> de eerste Minister van Arbeid van Nederland.</w:t>
      </w:r>
      <w:r w:rsidR="00E2399B">
        <w:rPr>
          <w:rStyle w:val="Voetnootmarkering"/>
          <w:lang w:val="nl-NL"/>
        </w:rPr>
        <w:footnoteReference w:id="14"/>
      </w:r>
      <w:r w:rsidR="00E2399B">
        <w:rPr>
          <w:lang w:val="nl-NL"/>
        </w:rPr>
        <w:t xml:space="preserve"> </w:t>
      </w:r>
      <w:r w:rsidR="00E2399B">
        <w:rPr>
          <w:lang w:val="nl-NL"/>
        </w:rPr>
        <w:t>Een van zijn grootste successen was de Arbeidswet</w:t>
      </w:r>
      <w:r w:rsidR="00E2399B">
        <w:rPr>
          <w:lang w:val="nl-NL"/>
        </w:rPr>
        <w:t>.</w:t>
      </w:r>
      <w:r w:rsidR="00E2399B">
        <w:rPr>
          <w:rStyle w:val="Voetnootmarkering"/>
          <w:lang w:val="nl-NL"/>
        </w:rPr>
        <w:footnoteReference w:id="15"/>
      </w:r>
      <w:r w:rsidR="00E2399B">
        <w:rPr>
          <w:lang w:val="nl-NL"/>
        </w:rPr>
        <w:t xml:space="preserve"> </w:t>
      </w:r>
    </w:p>
    <w:p w14:paraId="477698CA" w14:textId="5FF5509F" w:rsidR="00BD599B" w:rsidRDefault="00E2399B">
      <w:pPr>
        <w:rPr>
          <w:lang w:val="nl-NL"/>
        </w:rPr>
      </w:pPr>
      <w:r w:rsidRPr="00E2399B">
        <w:rPr>
          <w:lang w:val="nl-NL"/>
        </w:rPr>
        <w:t xml:space="preserve"> </w:t>
      </w:r>
      <w:r>
        <w:rPr>
          <w:lang w:val="nl-NL"/>
        </w:rPr>
        <w:t>Hij had als minister te maken met constante druk om te bezuinigen. Hij vond dat hij alleen stond, en iedereen in de ministerraad tegen hem was. Hij zou het zo lang mogelijk willen volhouden, maar werd ontmoedigd en vermoeid.</w:t>
      </w:r>
      <w:r>
        <w:rPr>
          <w:rStyle w:val="Voetnootmarkering"/>
          <w:lang w:val="nl-NL"/>
        </w:rPr>
        <w:footnoteReference w:id="16"/>
      </w:r>
    </w:p>
    <w:p w14:paraId="3A0D62DF" w14:textId="2E96D38A" w:rsidR="00E2399B" w:rsidRDefault="00E2399B">
      <w:pPr>
        <w:rPr>
          <w:lang w:val="nl-NL"/>
        </w:rPr>
      </w:pPr>
    </w:p>
    <w:p w14:paraId="6B3E1665" w14:textId="49D4BD6F" w:rsidR="00E2399B" w:rsidRPr="00E2399B" w:rsidRDefault="00E2399B">
      <w:pPr>
        <w:rPr>
          <w:b/>
          <w:bCs/>
          <w:lang w:val="nl-NL"/>
        </w:rPr>
      </w:pPr>
      <w:r>
        <w:rPr>
          <w:b/>
          <w:bCs/>
          <w:lang w:val="nl-NL"/>
        </w:rPr>
        <w:t xml:space="preserve">Welvaart van Politici </w:t>
      </w:r>
    </w:p>
    <w:p w14:paraId="4E0873E7" w14:textId="2B38C9BC" w:rsidR="00026C54" w:rsidRDefault="00287979" w:rsidP="00E2399B">
      <w:pPr>
        <w:rPr>
          <w:lang w:val="nl-NL"/>
        </w:rPr>
      </w:pPr>
      <w:proofErr w:type="spellStart"/>
      <w:r>
        <w:rPr>
          <w:lang w:val="nl-NL"/>
        </w:rPr>
        <w:t>Aalberse</w:t>
      </w:r>
      <w:proofErr w:type="spellEnd"/>
      <w:r>
        <w:rPr>
          <w:lang w:val="nl-NL"/>
        </w:rPr>
        <w:t xml:space="preserve"> schreef zijn kennis Engels eens: ‘Het </w:t>
      </w:r>
      <w:proofErr w:type="spellStart"/>
      <w:r>
        <w:rPr>
          <w:lang w:val="nl-NL"/>
        </w:rPr>
        <w:t>kamerlidmaatschap</w:t>
      </w:r>
      <w:proofErr w:type="spellEnd"/>
      <w:r>
        <w:rPr>
          <w:lang w:val="nl-NL"/>
        </w:rPr>
        <w:t xml:space="preserve"> is een hondenbaantje, dat met 2.000 gulden bar slecht wordt betaald…’</w:t>
      </w:r>
      <w:r w:rsidR="005A4FBB">
        <w:rPr>
          <w:rStyle w:val="Voetnootmarkering"/>
          <w:lang w:val="nl-NL"/>
        </w:rPr>
        <w:footnoteReference w:id="17"/>
      </w:r>
      <w:r w:rsidR="00205A9A">
        <w:rPr>
          <w:lang w:val="nl-NL"/>
        </w:rPr>
        <w:t xml:space="preserve"> </w:t>
      </w:r>
    </w:p>
    <w:p w14:paraId="2CBF185E" w14:textId="1686E149" w:rsidR="0036527E" w:rsidRDefault="0036527E">
      <w:pPr>
        <w:rPr>
          <w:lang w:val="nl-NL"/>
        </w:rPr>
      </w:pPr>
      <w:r>
        <w:rPr>
          <w:lang w:val="nl-NL"/>
        </w:rPr>
        <w:t xml:space="preserve">Ondanks dat het ministerschap van </w:t>
      </w:r>
      <w:proofErr w:type="spellStart"/>
      <w:r>
        <w:rPr>
          <w:lang w:val="nl-NL"/>
        </w:rPr>
        <w:t>Aalberse</w:t>
      </w:r>
      <w:proofErr w:type="spellEnd"/>
      <w:r>
        <w:rPr>
          <w:lang w:val="nl-NL"/>
        </w:rPr>
        <w:t xml:space="preserve"> in een tijd van langdurige financiële druk bestond, heeft hij zich </w:t>
      </w:r>
      <w:r w:rsidR="003822FA">
        <w:rPr>
          <w:lang w:val="nl-NL"/>
        </w:rPr>
        <w:t xml:space="preserve">(tenzij de auteur heeft nagelaten het te vermelden) geen enkele keer expliciet uitgelaten over de rijkdom van politici, of de verstrengeling van financieel eigenbelang en </w:t>
      </w:r>
      <w:r w:rsidR="005D7B34">
        <w:rPr>
          <w:lang w:val="nl-NL"/>
        </w:rPr>
        <w:t xml:space="preserve">stemgedrag. </w:t>
      </w:r>
    </w:p>
    <w:p w14:paraId="749D296E" w14:textId="7524AE88" w:rsidR="001B6999" w:rsidRDefault="009A1EFD">
      <w:pPr>
        <w:rPr>
          <w:lang w:val="nl-NL"/>
        </w:rPr>
      </w:pPr>
      <w:r>
        <w:rPr>
          <w:lang w:val="nl-NL"/>
        </w:rPr>
        <w:t xml:space="preserve">Zijn nalatenschap berust in ieder geval niet op eigenbelang: ‘Het is de grootste verdienste van </w:t>
      </w:r>
      <w:proofErr w:type="spellStart"/>
      <w:r>
        <w:rPr>
          <w:lang w:val="nl-NL"/>
        </w:rPr>
        <w:t>Aalberse</w:t>
      </w:r>
      <w:proofErr w:type="spellEnd"/>
      <w:r>
        <w:rPr>
          <w:lang w:val="nl-NL"/>
        </w:rPr>
        <w:t xml:space="preserve"> geweest, dat hij als sociaal-politicus zich steeds de onbaatzuchtige, de integere staatsman heeft getoond.’</w:t>
      </w:r>
      <w:r w:rsidR="006D2366">
        <w:rPr>
          <w:rStyle w:val="Voetnootmarkering"/>
          <w:lang w:val="nl-NL"/>
        </w:rPr>
        <w:footnoteReference w:id="18"/>
      </w:r>
    </w:p>
    <w:p w14:paraId="4768E56C" w14:textId="77777777" w:rsidR="006B0A79" w:rsidRDefault="006B0A79">
      <w:pPr>
        <w:rPr>
          <w:lang w:val="nl-NL"/>
        </w:rPr>
      </w:pPr>
    </w:p>
    <w:p w14:paraId="1EFA781F" w14:textId="3F84ABCF" w:rsidR="006B0A79" w:rsidRPr="006B0A79" w:rsidRDefault="006B0A79">
      <w:pPr>
        <w:rPr>
          <w:b/>
          <w:bCs/>
          <w:lang w:val="nl-NL"/>
        </w:rPr>
      </w:pPr>
      <w:r>
        <w:rPr>
          <w:b/>
          <w:bCs/>
          <w:lang w:val="nl-NL"/>
        </w:rPr>
        <w:t xml:space="preserve">Dagboek: bekeken via </w:t>
      </w:r>
      <w:hyperlink r:id="rId7" w:history="1">
        <w:r w:rsidRPr="00100B28">
          <w:rPr>
            <w:rStyle w:val="Hyperlink"/>
            <w:b/>
            <w:bCs/>
            <w:lang w:val="nl-NL"/>
          </w:rPr>
          <w:t>http://resources.huygens.knaw.nl/dagboekenaalberse/Inleiding</w:t>
        </w:r>
      </w:hyperlink>
      <w:r>
        <w:rPr>
          <w:b/>
          <w:bCs/>
          <w:lang w:val="nl-NL"/>
        </w:rPr>
        <w:t xml:space="preserve"> </w:t>
      </w:r>
    </w:p>
    <w:p w14:paraId="317B9658" w14:textId="1E362A1E" w:rsidR="00886220" w:rsidRDefault="00507E23">
      <w:pPr>
        <w:rPr>
          <w:lang w:val="nl-NL"/>
        </w:rPr>
      </w:pPr>
      <w:r>
        <w:rPr>
          <w:lang w:val="nl-NL"/>
        </w:rPr>
        <w:t xml:space="preserve">Ook in zijn dagboeken laat hij zich niet uit over enig </w:t>
      </w:r>
      <w:r w:rsidR="00A2543E">
        <w:rPr>
          <w:lang w:val="nl-NL"/>
        </w:rPr>
        <w:t>verband tussen financieel eigenbelang en een politieke loopbaan/stemgedrag.</w:t>
      </w:r>
      <w:r w:rsidR="006A7CAD">
        <w:rPr>
          <w:lang w:val="nl-NL"/>
        </w:rPr>
        <w:t xml:space="preserve"> Zijn dagboeken waren niet bedoeld om ooit gepubliceerd te worden</w:t>
      </w:r>
      <w:r w:rsidR="00886220">
        <w:rPr>
          <w:lang w:val="nl-NL"/>
        </w:rPr>
        <w:t xml:space="preserve">. ‘Een indirect bewijs voor het strikt persoonlijke karakter van het dagboek is de ongecensureerde blik die de tekst ons gunt in </w:t>
      </w:r>
      <w:proofErr w:type="spellStart"/>
      <w:r w:rsidR="00886220">
        <w:rPr>
          <w:lang w:val="nl-NL"/>
        </w:rPr>
        <w:t>Aalberses</w:t>
      </w:r>
      <w:proofErr w:type="spellEnd"/>
      <w:r w:rsidR="00886220">
        <w:rPr>
          <w:lang w:val="nl-NL"/>
        </w:rPr>
        <w:t xml:space="preserve"> steeds penibeler financiële omstandigheden in de jaren 20: om sociale en politieke redenen mocht daar niets van doorsijpelen (…)’ (xxxvii)</w:t>
      </w:r>
    </w:p>
    <w:p w14:paraId="25E0B949" w14:textId="3C68DD62" w:rsidR="009D5834" w:rsidRDefault="000C7357">
      <w:pPr>
        <w:rPr>
          <w:lang w:val="nl-NL"/>
        </w:rPr>
      </w:pPr>
      <w:r>
        <w:rPr>
          <w:lang w:val="nl-NL"/>
        </w:rPr>
        <w:t xml:space="preserve">Interessant genoeg lijkt </w:t>
      </w:r>
      <w:proofErr w:type="spellStart"/>
      <w:r>
        <w:rPr>
          <w:lang w:val="nl-NL"/>
        </w:rPr>
        <w:t>Aalberse</w:t>
      </w:r>
      <w:proofErr w:type="spellEnd"/>
      <w:r>
        <w:rPr>
          <w:lang w:val="nl-NL"/>
        </w:rPr>
        <w:t xml:space="preserve"> niet overtuigd te zijn van de baten van de politiek: ‘Als ’t Nederlandsche kapitaal eens aan den eigen handel en industrie ten goede kwam! Hoeveel nieuwe markten zijn er nu voor energieke kooplieden te veroveren! ‘</w:t>
      </w:r>
      <w:r w:rsidRPr="00E2399B">
        <w:rPr>
          <w:b/>
          <w:bCs/>
          <w:lang w:val="nl-NL"/>
        </w:rPr>
        <w:t>k Geloof dat ik fabrikant had moeten worden en dat ik dan sp</w:t>
      </w:r>
      <w:r w:rsidR="006A7CAD">
        <w:rPr>
          <w:b/>
          <w:bCs/>
          <w:lang w:val="nl-NL"/>
        </w:rPr>
        <w:t>oe</w:t>
      </w:r>
      <w:r w:rsidRPr="00E2399B">
        <w:rPr>
          <w:b/>
          <w:bCs/>
          <w:lang w:val="nl-NL"/>
        </w:rPr>
        <w:t xml:space="preserve">dig een man </w:t>
      </w:r>
      <w:r w:rsidRPr="00E2399B">
        <w:rPr>
          <w:b/>
          <w:bCs/>
          <w:i/>
          <w:iCs/>
          <w:lang w:val="nl-NL"/>
        </w:rPr>
        <w:t xml:space="preserve">in bonis </w:t>
      </w:r>
      <w:r w:rsidRPr="00E2399B">
        <w:rPr>
          <w:b/>
          <w:bCs/>
          <w:lang w:val="nl-NL"/>
        </w:rPr>
        <w:t>zou zijn!</w:t>
      </w:r>
      <w:r>
        <w:rPr>
          <w:lang w:val="nl-NL"/>
        </w:rPr>
        <w:t xml:space="preserve"> Doch dat gaat niet meer’ (20-10-1914) (79-80)</w:t>
      </w:r>
    </w:p>
    <w:p w14:paraId="6B0222F5" w14:textId="2C05ADA2" w:rsidR="006B0A79" w:rsidRDefault="009D5834">
      <w:pPr>
        <w:rPr>
          <w:lang w:val="nl-NL"/>
        </w:rPr>
      </w:pPr>
      <w:r>
        <w:rPr>
          <w:lang w:val="nl-NL"/>
        </w:rPr>
        <w:t>13-9-1922</w:t>
      </w:r>
      <w:r w:rsidR="00BC66CF">
        <w:rPr>
          <w:lang w:val="nl-NL"/>
        </w:rPr>
        <w:t xml:space="preserve"> (430)</w:t>
      </w:r>
    </w:p>
    <w:p w14:paraId="70E2EFB7" w14:textId="24DC8F0E" w:rsidR="006B0A79" w:rsidRDefault="006B0A79">
      <w:pPr>
        <w:rPr>
          <w:lang w:val="nl-NL"/>
        </w:rPr>
      </w:pPr>
      <w:r>
        <w:rPr>
          <w:lang w:val="nl-NL"/>
        </w:rPr>
        <w:t>Het verband tussen politiek en welvaart legt hij helaas alleen voor zichzelf. Een typisch voorbeeld is het volgende:</w:t>
      </w:r>
    </w:p>
    <w:p w14:paraId="63162EFB" w14:textId="77777777" w:rsidR="009D5834" w:rsidRPr="006B0A79" w:rsidRDefault="009D5834" w:rsidP="009D5834">
      <w:pPr>
        <w:pStyle w:val="Normaalweb"/>
        <w:rPr>
          <w:rFonts w:asciiTheme="minorHAnsi" w:hAnsiTheme="minorHAnsi" w:cstheme="minorHAnsi"/>
          <w:sz w:val="22"/>
          <w:szCs w:val="22"/>
        </w:rPr>
      </w:pPr>
      <w:r w:rsidRPr="006B0A79">
        <w:rPr>
          <w:rFonts w:asciiTheme="minorHAnsi" w:hAnsiTheme="minorHAnsi" w:cstheme="minorHAnsi"/>
          <w:sz w:val="22"/>
          <w:szCs w:val="22"/>
        </w:rPr>
        <w:t>Mijn inkomen bedraagt ±                                      f 23.000,–</w:t>
      </w:r>
    </w:p>
    <w:p w14:paraId="651534F7" w14:textId="77777777" w:rsidR="009D5834" w:rsidRPr="006B0A79" w:rsidRDefault="009D5834" w:rsidP="009D5834">
      <w:pPr>
        <w:pStyle w:val="Normaalweb"/>
        <w:rPr>
          <w:rFonts w:asciiTheme="minorHAnsi" w:hAnsiTheme="minorHAnsi" w:cstheme="minorHAnsi"/>
          <w:sz w:val="22"/>
          <w:szCs w:val="22"/>
        </w:rPr>
      </w:pPr>
      <w:r w:rsidRPr="006B0A79">
        <w:rPr>
          <w:rFonts w:asciiTheme="minorHAnsi" w:hAnsiTheme="minorHAnsi" w:cstheme="minorHAnsi"/>
          <w:sz w:val="22"/>
          <w:szCs w:val="22"/>
        </w:rPr>
        <w:lastRenderedPageBreak/>
        <w:t>Dus voor uitgaven beschikbaar                            f 11.505,–</w:t>
      </w:r>
    </w:p>
    <w:p w14:paraId="799DC324" w14:textId="77777777" w:rsidR="009D5834" w:rsidRPr="006B0A79" w:rsidRDefault="009D5834" w:rsidP="009D5834">
      <w:pPr>
        <w:pStyle w:val="Normaalweb"/>
        <w:rPr>
          <w:rFonts w:asciiTheme="minorHAnsi" w:hAnsiTheme="minorHAnsi" w:cstheme="minorHAnsi"/>
          <w:sz w:val="22"/>
          <w:szCs w:val="22"/>
        </w:rPr>
      </w:pPr>
      <w:r w:rsidRPr="006B0A79">
        <w:rPr>
          <w:rFonts w:asciiTheme="minorHAnsi" w:hAnsiTheme="minorHAnsi" w:cstheme="minorHAnsi"/>
          <w:sz w:val="22"/>
          <w:szCs w:val="22"/>
        </w:rPr>
        <w:t xml:space="preserve">Dat staat gelijk met vóór den oorlog  ongeveer f 6.000,–. ’t Is duidelijk dat je met een groot gezin daarmee in Den Haag als minister moeilijk rond kunt komen. Hoe ik daarin moet voorzien, weet ik niet. Ik gebruik mijn vrijen tijd om voor ’t </w:t>
      </w:r>
      <w:r w:rsidRPr="006B0A79">
        <w:rPr>
          <w:rFonts w:asciiTheme="minorHAnsi" w:hAnsiTheme="minorHAnsi" w:cstheme="minorHAnsi"/>
          <w:i/>
          <w:iCs/>
          <w:sz w:val="22"/>
          <w:szCs w:val="22"/>
        </w:rPr>
        <w:t>Katholiek Sociaal Weekblad</w:t>
      </w:r>
      <w:r w:rsidRPr="006B0A79">
        <w:rPr>
          <w:rFonts w:asciiTheme="minorHAnsi" w:hAnsiTheme="minorHAnsi" w:cstheme="minorHAnsi"/>
          <w:sz w:val="22"/>
          <w:szCs w:val="22"/>
        </w:rPr>
        <w:t xml:space="preserve"> en </w:t>
      </w:r>
      <w:r w:rsidRPr="006B0A79">
        <w:rPr>
          <w:rFonts w:asciiTheme="minorHAnsi" w:hAnsiTheme="minorHAnsi" w:cstheme="minorHAnsi"/>
          <w:i/>
          <w:iCs/>
          <w:sz w:val="22"/>
          <w:szCs w:val="22"/>
        </w:rPr>
        <w:t>Het Centrum</w:t>
      </w:r>
      <w:r w:rsidRPr="006B0A79">
        <w:rPr>
          <w:rFonts w:asciiTheme="minorHAnsi" w:hAnsiTheme="minorHAnsi" w:cstheme="minorHAnsi"/>
          <w:sz w:val="22"/>
          <w:szCs w:val="22"/>
        </w:rPr>
        <w:t xml:space="preserve"> te schrijven. Maar meer dan vijf à zeshonderd gulden levert dat toch niet op. Ik heb er nu een commissariaat bij genomen van de Hollandsche </w:t>
      </w:r>
      <w:proofErr w:type="spellStart"/>
      <w:r w:rsidRPr="006B0A79">
        <w:rPr>
          <w:rFonts w:asciiTheme="minorHAnsi" w:hAnsiTheme="minorHAnsi" w:cstheme="minorHAnsi"/>
          <w:sz w:val="22"/>
          <w:szCs w:val="22"/>
        </w:rPr>
        <w:t>Algemeene</w:t>
      </w:r>
      <w:proofErr w:type="spellEnd"/>
      <w:r w:rsidRPr="006B0A79">
        <w:rPr>
          <w:rFonts w:asciiTheme="minorHAnsi" w:hAnsiTheme="minorHAnsi" w:cstheme="minorHAnsi"/>
          <w:sz w:val="22"/>
          <w:szCs w:val="22"/>
        </w:rPr>
        <w:t xml:space="preserve"> Verzekeringsbank, een jonge, zeer soliede levensverzekeringsmaatschappij te Schiedam. Eigenlijk in strijd met ’t besluit van den ministerraad dat we tijdens ons </w:t>
      </w:r>
      <w:proofErr w:type="spellStart"/>
      <w:r w:rsidRPr="006B0A79">
        <w:rPr>
          <w:rFonts w:asciiTheme="minorHAnsi" w:hAnsiTheme="minorHAnsi" w:cstheme="minorHAnsi"/>
          <w:sz w:val="22"/>
          <w:szCs w:val="22"/>
        </w:rPr>
        <w:t>ministersschap</w:t>
      </w:r>
      <w:proofErr w:type="spellEnd"/>
      <w:r w:rsidRPr="006B0A79">
        <w:rPr>
          <w:rFonts w:asciiTheme="minorHAnsi" w:hAnsiTheme="minorHAnsi" w:cstheme="minorHAnsi"/>
          <w:sz w:val="22"/>
          <w:szCs w:val="22"/>
        </w:rPr>
        <w:t xml:space="preserve"> geen nieuwe commissariaten zouden aannemen. Ik kan ’t alleen verdedigen door te zeggen: ik was demissionair! Ik heb verzocht ’t niet te </w:t>
      </w:r>
      <w:proofErr w:type="spellStart"/>
      <w:r w:rsidRPr="006B0A79">
        <w:rPr>
          <w:rFonts w:asciiTheme="minorHAnsi" w:hAnsiTheme="minorHAnsi" w:cstheme="minorHAnsi"/>
          <w:sz w:val="22"/>
          <w:szCs w:val="22"/>
        </w:rPr>
        <w:t>publiceeren</w:t>
      </w:r>
      <w:proofErr w:type="spellEnd"/>
      <w:r w:rsidRPr="006B0A79">
        <w:rPr>
          <w:rFonts w:asciiTheme="minorHAnsi" w:hAnsiTheme="minorHAnsi" w:cstheme="minorHAnsi"/>
          <w:sz w:val="22"/>
          <w:szCs w:val="22"/>
        </w:rPr>
        <w:t>. Ik hoop dat ’t onopgemerkt zal blijven. Maar al geeft dat commissariaat een vijf à zeshonderd gulden, dan nog ben ik er niet.</w:t>
      </w:r>
    </w:p>
    <w:p w14:paraId="34542CFF" w14:textId="77777777" w:rsidR="009D5834" w:rsidRPr="006B0A79" w:rsidRDefault="009D5834" w:rsidP="009D5834">
      <w:pPr>
        <w:pStyle w:val="Normaalweb"/>
        <w:rPr>
          <w:rFonts w:asciiTheme="minorHAnsi" w:hAnsiTheme="minorHAnsi" w:cstheme="minorHAnsi"/>
          <w:sz w:val="22"/>
          <w:szCs w:val="22"/>
        </w:rPr>
      </w:pPr>
      <w:r w:rsidRPr="006B0A79">
        <w:rPr>
          <w:rFonts w:asciiTheme="minorHAnsi" w:hAnsiTheme="minorHAnsi" w:cstheme="minorHAnsi"/>
          <w:sz w:val="22"/>
          <w:szCs w:val="22"/>
        </w:rPr>
        <w:t>            En dan gaat An in ’t voorjaar trouwen! Waar haal ik ’t geld vandaan?!</w:t>
      </w:r>
    </w:p>
    <w:p w14:paraId="6A1396C6" w14:textId="77777777" w:rsidR="009D5834" w:rsidRPr="000C7357" w:rsidRDefault="009D5834">
      <w:pPr>
        <w:rPr>
          <w:lang w:val="nl-NL"/>
        </w:rPr>
      </w:pPr>
    </w:p>
    <w:p w14:paraId="21951DEC" w14:textId="77777777" w:rsidR="00E325E5" w:rsidRPr="000B1C96" w:rsidRDefault="00E325E5">
      <w:pPr>
        <w:rPr>
          <w:lang w:val="nl-NL"/>
        </w:rPr>
      </w:pPr>
    </w:p>
    <w:sectPr w:rsidR="00E325E5" w:rsidRPr="000B1C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3E3FF" w14:textId="77777777" w:rsidR="00C27B51" w:rsidRDefault="00C27B51" w:rsidP="001B6999">
      <w:pPr>
        <w:spacing w:after="0" w:line="240" w:lineRule="auto"/>
      </w:pPr>
      <w:r>
        <w:separator/>
      </w:r>
    </w:p>
  </w:endnote>
  <w:endnote w:type="continuationSeparator" w:id="0">
    <w:p w14:paraId="61644E90" w14:textId="77777777" w:rsidR="00C27B51" w:rsidRDefault="00C27B51" w:rsidP="001B6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272FA" w14:textId="77777777" w:rsidR="00C27B51" w:rsidRDefault="00C27B51" w:rsidP="001B6999">
      <w:pPr>
        <w:spacing w:after="0" w:line="240" w:lineRule="auto"/>
      </w:pPr>
      <w:r>
        <w:separator/>
      </w:r>
    </w:p>
  </w:footnote>
  <w:footnote w:type="continuationSeparator" w:id="0">
    <w:p w14:paraId="22878E9B" w14:textId="77777777" w:rsidR="00C27B51" w:rsidRDefault="00C27B51" w:rsidP="001B6999">
      <w:pPr>
        <w:spacing w:after="0" w:line="240" w:lineRule="auto"/>
      </w:pPr>
      <w:r>
        <w:continuationSeparator/>
      </w:r>
    </w:p>
  </w:footnote>
  <w:footnote w:id="1">
    <w:p w14:paraId="01CF05C3" w14:textId="54A18CE1" w:rsidR="001B6999" w:rsidRPr="001B6999" w:rsidRDefault="001B6999" w:rsidP="001B6999">
      <w:pPr>
        <w:rPr>
          <w:lang w:val="nl-NL"/>
        </w:rPr>
      </w:pPr>
      <w:r>
        <w:rPr>
          <w:rStyle w:val="Voetnootmarkering"/>
        </w:rPr>
        <w:footnoteRef/>
      </w:r>
      <w:r w:rsidRPr="001B6999">
        <w:rPr>
          <w:lang w:val="nl-NL"/>
        </w:rPr>
        <w:t xml:space="preserve"> </w:t>
      </w:r>
      <w:r w:rsidRPr="000B1C96">
        <w:rPr>
          <w:lang w:val="nl-NL"/>
        </w:rPr>
        <w:t>Jacobus Petrus</w:t>
      </w:r>
      <w:r>
        <w:rPr>
          <w:lang w:val="nl-NL"/>
        </w:rPr>
        <w:t xml:space="preserve"> </w:t>
      </w:r>
      <w:proofErr w:type="spellStart"/>
      <w:r>
        <w:rPr>
          <w:lang w:val="nl-NL"/>
        </w:rPr>
        <w:t>Gribling</w:t>
      </w:r>
      <w:proofErr w:type="spellEnd"/>
      <w:r w:rsidRPr="000B1C96">
        <w:rPr>
          <w:lang w:val="nl-NL"/>
        </w:rPr>
        <w:t xml:space="preserve">, </w:t>
      </w:r>
      <w:r w:rsidRPr="000B1C96">
        <w:rPr>
          <w:i/>
          <w:iCs/>
          <w:lang w:val="nl-NL"/>
        </w:rPr>
        <w:t xml:space="preserve">P.J.M. </w:t>
      </w:r>
      <w:proofErr w:type="spellStart"/>
      <w:r w:rsidRPr="000B1C96">
        <w:rPr>
          <w:i/>
          <w:iCs/>
          <w:lang w:val="nl-NL"/>
        </w:rPr>
        <w:t>Aalberse</w:t>
      </w:r>
      <w:proofErr w:type="spellEnd"/>
      <w:r w:rsidRPr="000B1C96">
        <w:rPr>
          <w:i/>
          <w:iCs/>
          <w:lang w:val="nl-NL"/>
        </w:rPr>
        <w:t>: 1871-1948</w:t>
      </w:r>
      <w:r w:rsidRPr="000B1C96">
        <w:rPr>
          <w:b/>
          <w:bCs/>
          <w:i/>
          <w:iCs/>
          <w:lang w:val="nl-NL"/>
        </w:rPr>
        <w:t xml:space="preserve"> </w:t>
      </w:r>
      <w:r w:rsidRPr="000B1C96">
        <w:rPr>
          <w:lang w:val="nl-NL"/>
        </w:rPr>
        <w:t>(Utrecht</w:t>
      </w:r>
      <w:r>
        <w:rPr>
          <w:lang w:val="nl-NL"/>
        </w:rPr>
        <w:t xml:space="preserve"> 1961)</w:t>
      </w:r>
      <w:r>
        <w:rPr>
          <w:lang w:val="nl-NL"/>
        </w:rPr>
        <w:t xml:space="preserve"> 12</w:t>
      </w:r>
      <w:r>
        <w:rPr>
          <w:lang w:val="nl-NL"/>
        </w:rPr>
        <w:t>.</w:t>
      </w:r>
    </w:p>
  </w:footnote>
  <w:footnote w:id="2">
    <w:p w14:paraId="50F66DF4" w14:textId="3C95B2DF" w:rsidR="005A4FBB" w:rsidRPr="005A4FBB" w:rsidRDefault="005A4FBB">
      <w:pPr>
        <w:pStyle w:val="Voetnoottekst"/>
        <w:rPr>
          <w:lang w:val="nl-NL"/>
        </w:rPr>
      </w:pPr>
      <w:r>
        <w:rPr>
          <w:rStyle w:val="Voetnootmarkering"/>
        </w:rPr>
        <w:footnoteRef/>
      </w:r>
      <w:r>
        <w:t xml:space="preserve"> </w:t>
      </w:r>
      <w:proofErr w:type="spellStart"/>
      <w:r>
        <w:rPr>
          <w:lang w:val="nl-NL"/>
        </w:rPr>
        <w:t>Gribling</w:t>
      </w:r>
      <w:proofErr w:type="spellEnd"/>
      <w:r>
        <w:rPr>
          <w:lang w:val="nl-NL"/>
        </w:rPr>
        <w:t xml:space="preserve">, </w:t>
      </w:r>
      <w:proofErr w:type="spellStart"/>
      <w:r>
        <w:rPr>
          <w:i/>
          <w:iCs/>
          <w:lang w:val="nl-NL"/>
        </w:rPr>
        <w:t>Aalberse</w:t>
      </w:r>
      <w:proofErr w:type="spellEnd"/>
      <w:r>
        <w:rPr>
          <w:lang w:val="nl-NL"/>
        </w:rPr>
        <w:t>, 18.</w:t>
      </w:r>
    </w:p>
  </w:footnote>
  <w:footnote w:id="3">
    <w:p w14:paraId="3D856D2D" w14:textId="6028C903" w:rsidR="005A4FBB" w:rsidRPr="005A4FBB" w:rsidRDefault="005A4FBB">
      <w:pPr>
        <w:pStyle w:val="Voetnoottekst"/>
        <w:rPr>
          <w:lang w:val="nl-NL"/>
        </w:rPr>
      </w:pPr>
      <w:r>
        <w:rPr>
          <w:rStyle w:val="Voetnootmarkering"/>
        </w:rPr>
        <w:footnoteRef/>
      </w:r>
      <w:r>
        <w:t xml:space="preserve"> </w:t>
      </w:r>
      <w:r>
        <w:rPr>
          <w:lang w:val="nl-NL"/>
        </w:rPr>
        <w:t>Ibidem, 23.</w:t>
      </w:r>
    </w:p>
  </w:footnote>
  <w:footnote w:id="4">
    <w:p w14:paraId="008351EA" w14:textId="1939B039" w:rsidR="005A4FBB" w:rsidRPr="005A4FBB" w:rsidRDefault="005A4FBB">
      <w:pPr>
        <w:pStyle w:val="Voetnoottekst"/>
        <w:rPr>
          <w:lang w:val="nl-NL"/>
        </w:rPr>
      </w:pPr>
      <w:r>
        <w:rPr>
          <w:rStyle w:val="Voetnootmarkering"/>
        </w:rPr>
        <w:footnoteRef/>
      </w:r>
      <w:r>
        <w:t xml:space="preserve"> Ibidem, 24.</w:t>
      </w:r>
    </w:p>
  </w:footnote>
  <w:footnote w:id="5">
    <w:p w14:paraId="4FA9E22F" w14:textId="5A16CD70" w:rsidR="005A4FBB" w:rsidRPr="005A4FBB" w:rsidRDefault="005A4FBB">
      <w:pPr>
        <w:pStyle w:val="Voetnoottekst"/>
        <w:rPr>
          <w:lang w:val="nl-NL"/>
        </w:rPr>
      </w:pPr>
      <w:r>
        <w:rPr>
          <w:rStyle w:val="Voetnootmarkering"/>
        </w:rPr>
        <w:footnoteRef/>
      </w:r>
      <w:r>
        <w:t xml:space="preserve"> </w:t>
      </w:r>
      <w:r>
        <w:t>Ibidem</w:t>
      </w:r>
      <w:r>
        <w:t>, 47, 53.</w:t>
      </w:r>
    </w:p>
  </w:footnote>
  <w:footnote w:id="6">
    <w:p w14:paraId="5E2B477B" w14:textId="04F33E56" w:rsidR="005A4FBB" w:rsidRPr="005A4FBB" w:rsidRDefault="005A4FBB">
      <w:pPr>
        <w:pStyle w:val="Voetnoottekst"/>
        <w:rPr>
          <w:lang w:val="nl-NL"/>
        </w:rPr>
      </w:pPr>
      <w:r>
        <w:rPr>
          <w:rStyle w:val="Voetnootmarkering"/>
        </w:rPr>
        <w:footnoteRef/>
      </w:r>
      <w:r>
        <w:t xml:space="preserve"> </w:t>
      </w:r>
      <w:r>
        <w:t>Ibidem</w:t>
      </w:r>
      <w:r>
        <w:t>, 60.</w:t>
      </w:r>
    </w:p>
  </w:footnote>
  <w:footnote w:id="7">
    <w:p w14:paraId="7890BAFD" w14:textId="1133A2E5" w:rsidR="005A4FBB" w:rsidRPr="005A4FBB" w:rsidRDefault="005A4FBB">
      <w:pPr>
        <w:pStyle w:val="Voetnoottekst"/>
        <w:rPr>
          <w:lang w:val="nl-NL"/>
        </w:rPr>
      </w:pPr>
      <w:r>
        <w:rPr>
          <w:rStyle w:val="Voetnootmarkering"/>
        </w:rPr>
        <w:footnoteRef/>
      </w:r>
      <w:r>
        <w:t xml:space="preserve"> </w:t>
      </w:r>
      <w:r>
        <w:t>Ibidem</w:t>
      </w:r>
      <w:r>
        <w:t>, 69.</w:t>
      </w:r>
    </w:p>
  </w:footnote>
  <w:footnote w:id="8">
    <w:p w14:paraId="752AA9F4" w14:textId="5964C47F" w:rsidR="005A4FBB" w:rsidRPr="005A4FBB" w:rsidRDefault="005A4FBB">
      <w:pPr>
        <w:pStyle w:val="Voetnoottekst"/>
        <w:rPr>
          <w:lang w:val="nl-NL"/>
        </w:rPr>
      </w:pPr>
      <w:r>
        <w:rPr>
          <w:rStyle w:val="Voetnootmarkering"/>
        </w:rPr>
        <w:footnoteRef/>
      </w:r>
      <w:r>
        <w:t xml:space="preserve"> </w:t>
      </w:r>
      <w:r>
        <w:t>Ibidem</w:t>
      </w:r>
      <w:r>
        <w:t>, 89.</w:t>
      </w:r>
    </w:p>
  </w:footnote>
  <w:footnote w:id="9">
    <w:p w14:paraId="038B97A6" w14:textId="293D233F" w:rsidR="005A4FBB" w:rsidRPr="005A4FBB" w:rsidRDefault="005A4FBB">
      <w:pPr>
        <w:pStyle w:val="Voetnoottekst"/>
        <w:rPr>
          <w:lang w:val="nl-NL"/>
        </w:rPr>
      </w:pPr>
      <w:r>
        <w:rPr>
          <w:rStyle w:val="Voetnootmarkering"/>
        </w:rPr>
        <w:footnoteRef/>
      </w:r>
      <w:r>
        <w:t xml:space="preserve"> </w:t>
      </w:r>
      <w:r>
        <w:t>Ibidem</w:t>
      </w:r>
      <w:r>
        <w:t>, 95.</w:t>
      </w:r>
    </w:p>
  </w:footnote>
  <w:footnote w:id="10">
    <w:p w14:paraId="5E241BA2" w14:textId="2EDD8F44" w:rsidR="005A4FBB" w:rsidRPr="005A4FBB" w:rsidRDefault="005A4FBB">
      <w:pPr>
        <w:pStyle w:val="Voetnoottekst"/>
        <w:rPr>
          <w:lang w:val="nl-NL"/>
        </w:rPr>
      </w:pPr>
      <w:r>
        <w:rPr>
          <w:rStyle w:val="Voetnootmarkering"/>
        </w:rPr>
        <w:footnoteRef/>
      </w:r>
      <w:r>
        <w:t xml:space="preserve"> </w:t>
      </w:r>
      <w:r>
        <w:t>Ibidem</w:t>
      </w:r>
      <w:r>
        <w:t>, 139.</w:t>
      </w:r>
    </w:p>
  </w:footnote>
  <w:footnote w:id="11">
    <w:p w14:paraId="6E2867CB" w14:textId="0327CEF0" w:rsidR="005A4FBB" w:rsidRPr="005A4FBB" w:rsidRDefault="005A4FBB">
      <w:pPr>
        <w:pStyle w:val="Voetnoottekst"/>
        <w:rPr>
          <w:lang w:val="nl-NL"/>
        </w:rPr>
      </w:pPr>
      <w:r>
        <w:rPr>
          <w:rStyle w:val="Voetnootmarkering"/>
        </w:rPr>
        <w:footnoteRef/>
      </w:r>
      <w:r>
        <w:t xml:space="preserve"> </w:t>
      </w:r>
      <w:r>
        <w:t>Ibidem</w:t>
      </w:r>
      <w:r>
        <w:t>, 145.</w:t>
      </w:r>
    </w:p>
  </w:footnote>
  <w:footnote w:id="12">
    <w:p w14:paraId="46BF9067" w14:textId="7F735A42" w:rsidR="005A4FBB" w:rsidRPr="005A4FBB" w:rsidRDefault="005A4FBB">
      <w:pPr>
        <w:pStyle w:val="Voetnoottekst"/>
        <w:rPr>
          <w:lang w:val="nl-NL"/>
        </w:rPr>
      </w:pPr>
      <w:r>
        <w:rPr>
          <w:rStyle w:val="Voetnootmarkering"/>
        </w:rPr>
        <w:footnoteRef/>
      </w:r>
      <w:r>
        <w:t xml:space="preserve"> </w:t>
      </w:r>
      <w:r>
        <w:t>Ibidem</w:t>
      </w:r>
      <w:r>
        <w:t>, 147-148.</w:t>
      </w:r>
    </w:p>
  </w:footnote>
  <w:footnote w:id="13">
    <w:p w14:paraId="36B0D1F2" w14:textId="2B6774ED" w:rsidR="005A4FBB" w:rsidRPr="005A4FBB" w:rsidRDefault="005A4FBB">
      <w:pPr>
        <w:pStyle w:val="Voetnoottekst"/>
        <w:rPr>
          <w:lang w:val="nl-NL"/>
        </w:rPr>
      </w:pPr>
      <w:r>
        <w:rPr>
          <w:rStyle w:val="Voetnootmarkering"/>
        </w:rPr>
        <w:footnoteRef/>
      </w:r>
      <w:r>
        <w:t xml:space="preserve"> </w:t>
      </w:r>
      <w:r>
        <w:t>Ibidem</w:t>
      </w:r>
      <w:r>
        <w:t>, 193.</w:t>
      </w:r>
    </w:p>
  </w:footnote>
  <w:footnote w:id="14">
    <w:p w14:paraId="6122D474" w14:textId="77777777" w:rsidR="00E2399B" w:rsidRPr="005A4FBB" w:rsidRDefault="00E2399B" w:rsidP="00E2399B">
      <w:pPr>
        <w:pStyle w:val="Voetnoottekst"/>
        <w:rPr>
          <w:lang w:val="nl-NL"/>
        </w:rPr>
      </w:pPr>
      <w:r>
        <w:rPr>
          <w:rStyle w:val="Voetnootmarkering"/>
        </w:rPr>
        <w:footnoteRef/>
      </w:r>
      <w:r w:rsidRPr="00E2399B">
        <w:rPr>
          <w:lang w:val="nl-NL"/>
        </w:rPr>
        <w:t xml:space="preserve"> Ibidem, 307.</w:t>
      </w:r>
    </w:p>
  </w:footnote>
  <w:footnote w:id="15">
    <w:p w14:paraId="103D472D" w14:textId="77777777" w:rsidR="00E2399B" w:rsidRPr="005A4FBB" w:rsidRDefault="00E2399B" w:rsidP="00E2399B">
      <w:pPr>
        <w:pStyle w:val="Voetnoottekst"/>
        <w:rPr>
          <w:lang w:val="nl-NL"/>
        </w:rPr>
      </w:pPr>
      <w:r>
        <w:rPr>
          <w:rStyle w:val="Voetnootmarkering"/>
        </w:rPr>
        <w:footnoteRef/>
      </w:r>
      <w:r w:rsidRPr="00E2399B">
        <w:rPr>
          <w:lang w:val="nl-NL"/>
        </w:rPr>
        <w:t xml:space="preserve"> Ibidem, 351.</w:t>
      </w:r>
    </w:p>
  </w:footnote>
  <w:footnote w:id="16">
    <w:p w14:paraId="2C6AA22F" w14:textId="77777777" w:rsidR="00E2399B" w:rsidRPr="005A4FBB" w:rsidRDefault="00E2399B" w:rsidP="00E2399B">
      <w:pPr>
        <w:pStyle w:val="Voetnoottekst"/>
        <w:rPr>
          <w:lang w:val="nl-NL"/>
        </w:rPr>
      </w:pPr>
      <w:r>
        <w:rPr>
          <w:rStyle w:val="Voetnootmarkering"/>
        </w:rPr>
        <w:footnoteRef/>
      </w:r>
      <w:r w:rsidRPr="00E2399B">
        <w:rPr>
          <w:lang w:val="nl-NL"/>
        </w:rPr>
        <w:t xml:space="preserve"> Ibidem, 412-413.</w:t>
      </w:r>
    </w:p>
  </w:footnote>
  <w:footnote w:id="17">
    <w:p w14:paraId="2A51E727" w14:textId="5F72EC36" w:rsidR="005A4FBB" w:rsidRPr="005A4FBB" w:rsidRDefault="005A4FBB">
      <w:pPr>
        <w:pStyle w:val="Voetnoottekst"/>
        <w:rPr>
          <w:lang w:val="nl-NL"/>
        </w:rPr>
      </w:pPr>
      <w:r>
        <w:rPr>
          <w:rStyle w:val="Voetnootmarkering"/>
        </w:rPr>
        <w:footnoteRef/>
      </w:r>
      <w:r w:rsidRPr="00E2399B">
        <w:rPr>
          <w:lang w:val="nl-NL"/>
        </w:rPr>
        <w:t xml:space="preserve"> </w:t>
      </w:r>
      <w:r w:rsidRPr="00E2399B">
        <w:rPr>
          <w:lang w:val="nl-NL"/>
        </w:rPr>
        <w:t>Ibidem</w:t>
      </w:r>
      <w:r w:rsidRPr="00E2399B">
        <w:rPr>
          <w:lang w:val="nl-NL"/>
        </w:rPr>
        <w:t>, 202.</w:t>
      </w:r>
    </w:p>
  </w:footnote>
  <w:footnote w:id="18">
    <w:p w14:paraId="0C5CEE8F" w14:textId="3DA39D53" w:rsidR="006D2366" w:rsidRPr="006D2366" w:rsidRDefault="006D2366">
      <w:pPr>
        <w:pStyle w:val="Voetnoottekst"/>
        <w:rPr>
          <w:lang w:val="nl-NL"/>
        </w:rPr>
      </w:pPr>
      <w:r>
        <w:rPr>
          <w:rStyle w:val="Voetnootmarkering"/>
        </w:rPr>
        <w:footnoteRef/>
      </w:r>
      <w:r w:rsidRPr="00E2399B">
        <w:rPr>
          <w:lang w:val="nl-NL"/>
        </w:rPr>
        <w:t xml:space="preserve"> </w:t>
      </w:r>
      <w:r w:rsidRPr="00E2399B">
        <w:rPr>
          <w:lang w:val="nl-NL"/>
        </w:rPr>
        <w:t>Ibidem</w:t>
      </w:r>
      <w:r w:rsidRPr="00E2399B">
        <w:rPr>
          <w:lang w:val="nl-NL"/>
        </w:rPr>
        <w:t>, 499.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C5"/>
    <w:rsid w:val="00026C54"/>
    <w:rsid w:val="00026D42"/>
    <w:rsid w:val="000B1C96"/>
    <w:rsid w:val="000B7A32"/>
    <w:rsid w:val="000C7357"/>
    <w:rsid w:val="0013419B"/>
    <w:rsid w:val="001B6999"/>
    <w:rsid w:val="00205A9A"/>
    <w:rsid w:val="00287979"/>
    <w:rsid w:val="0036527E"/>
    <w:rsid w:val="003822FA"/>
    <w:rsid w:val="00457912"/>
    <w:rsid w:val="00492129"/>
    <w:rsid w:val="004C7BE5"/>
    <w:rsid w:val="00507E23"/>
    <w:rsid w:val="005321A9"/>
    <w:rsid w:val="00542C82"/>
    <w:rsid w:val="005A4FBB"/>
    <w:rsid w:val="005D7B34"/>
    <w:rsid w:val="006039D2"/>
    <w:rsid w:val="00636991"/>
    <w:rsid w:val="00662D86"/>
    <w:rsid w:val="006A7CAD"/>
    <w:rsid w:val="006B0A79"/>
    <w:rsid w:val="006D2366"/>
    <w:rsid w:val="00706FC5"/>
    <w:rsid w:val="007133A8"/>
    <w:rsid w:val="00815E89"/>
    <w:rsid w:val="00856ACC"/>
    <w:rsid w:val="008769D0"/>
    <w:rsid w:val="00886220"/>
    <w:rsid w:val="008B1ABA"/>
    <w:rsid w:val="00967187"/>
    <w:rsid w:val="009A1EFD"/>
    <w:rsid w:val="009D5834"/>
    <w:rsid w:val="00A2543E"/>
    <w:rsid w:val="00A313BD"/>
    <w:rsid w:val="00A8248B"/>
    <w:rsid w:val="00B50B84"/>
    <w:rsid w:val="00BC66CF"/>
    <w:rsid w:val="00BD599B"/>
    <w:rsid w:val="00C01B0A"/>
    <w:rsid w:val="00C06A4E"/>
    <w:rsid w:val="00C27B51"/>
    <w:rsid w:val="00E2399B"/>
    <w:rsid w:val="00E325E5"/>
    <w:rsid w:val="00EB7FCB"/>
    <w:rsid w:val="00F41F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B99B"/>
  <w15:chartTrackingRefBased/>
  <w15:docId w15:val="{FF33C071-47A8-49E1-8B89-C28034D5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D5834"/>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Voetnoottekst">
    <w:name w:val="footnote text"/>
    <w:basedOn w:val="Standaard"/>
    <w:link w:val="VoetnoottekstChar"/>
    <w:uiPriority w:val="99"/>
    <w:semiHidden/>
    <w:unhideWhenUsed/>
    <w:rsid w:val="001B699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B6999"/>
    <w:rPr>
      <w:sz w:val="20"/>
      <w:szCs w:val="20"/>
      <w:lang w:val="en-GB"/>
    </w:rPr>
  </w:style>
  <w:style w:type="character" w:styleId="Voetnootmarkering">
    <w:name w:val="footnote reference"/>
    <w:basedOn w:val="Standaardalinea-lettertype"/>
    <w:uiPriority w:val="99"/>
    <w:semiHidden/>
    <w:unhideWhenUsed/>
    <w:rsid w:val="001B6999"/>
    <w:rPr>
      <w:vertAlign w:val="superscript"/>
    </w:rPr>
  </w:style>
  <w:style w:type="character" w:styleId="Hyperlink">
    <w:name w:val="Hyperlink"/>
    <w:basedOn w:val="Standaardalinea-lettertype"/>
    <w:uiPriority w:val="99"/>
    <w:unhideWhenUsed/>
    <w:rsid w:val="006B0A79"/>
    <w:rPr>
      <w:color w:val="0563C1" w:themeColor="hyperlink"/>
      <w:u w:val="single"/>
    </w:rPr>
  </w:style>
  <w:style w:type="character" w:styleId="Onopgelostemelding">
    <w:name w:val="Unresolved Mention"/>
    <w:basedOn w:val="Standaardalinea-lettertype"/>
    <w:uiPriority w:val="99"/>
    <w:semiHidden/>
    <w:unhideWhenUsed/>
    <w:rsid w:val="006B0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90">
      <w:bodyDiv w:val="1"/>
      <w:marLeft w:val="0"/>
      <w:marRight w:val="0"/>
      <w:marTop w:val="0"/>
      <w:marBottom w:val="0"/>
      <w:divBdr>
        <w:top w:val="none" w:sz="0" w:space="0" w:color="auto"/>
        <w:left w:val="none" w:sz="0" w:space="0" w:color="auto"/>
        <w:bottom w:val="none" w:sz="0" w:space="0" w:color="auto"/>
        <w:right w:val="none" w:sz="0" w:space="0" w:color="auto"/>
      </w:divBdr>
      <w:divsChild>
        <w:div w:id="1701280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ources.huygens.knaw.nl/dagboekenaalberse/Inleid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96D14-762E-4C44-9E3C-D147AF05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836</Words>
  <Characters>4602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 J. van der (Jesper)</dc:creator>
  <cp:keywords/>
  <dc:description/>
  <cp:lastModifiedBy>Most, J. van der (Jesper)</cp:lastModifiedBy>
  <cp:revision>49</cp:revision>
  <dcterms:created xsi:type="dcterms:W3CDTF">2022-06-21T18:20:00Z</dcterms:created>
  <dcterms:modified xsi:type="dcterms:W3CDTF">2022-06-25T15:54:00Z</dcterms:modified>
</cp:coreProperties>
</file>