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1E3A8A"/>
          <w:sz w:val="48"/>
        </w:rPr>
        <w:t>EDUSFERA.BY</w:t>
        <w:br/>
        <w:t>Платформа Управляемого Образовательного Результата</w:t>
      </w:r>
    </w:p>
    <w:p>
      <w:pPr>
        <w:spacing w:after="480"/>
        <w:jc w:val="center"/>
      </w:pPr>
      <w:r>
        <w:rPr>
          <w:rFonts w:ascii="Arial" w:hAnsi="Arial"/>
          <w:i/>
          <w:color w:val="475569"/>
          <w:sz w:val="26"/>
        </w:rPr>
        <w:t>Маркетинговое и функциональное описание технологической экосистемы частного обучения в Республике Беларусь</w:t>
      </w:r>
    </w:p>
    <w:p>
      <w:pPr>
        <w:spacing w:after="400"/>
        <w:jc w:val="center"/>
      </w:pPr>
      <w:r>
        <w:rPr>
          <w:color w:val="475569"/>
        </w:rPr>
        <w:t>__________________________________________________________________</w:t>
      </w:r>
    </w:p>
    <w:p>
      <w:pPr>
        <w:keepNext/>
        <w:spacing w:before="360" w:after="120"/>
      </w:pPr>
      <w:r>
        <w:rPr>
          <w:rFonts w:ascii="Arial" w:hAnsi="Arial"/>
          <w:b/>
          <w:color w:val="1E3A8A"/>
          <w:sz w:val="36"/>
        </w:rPr>
        <w:t>1. Позиционирование и суть платформы</w:t>
      </w:r>
    </w:p>
    <w:p>
      <w:pPr>
        <w:spacing w:after="120" w:line="276" w:lineRule="auto"/>
      </w:pPr>
      <w:r>
        <w:rPr>
          <w:rFonts w:ascii="Arial" w:hAnsi="Arial"/>
        </w:rPr>
        <w:t>Edusfera.by — это инновационная образовательная технологическая платформа (EdTech) и специализированный маркетплейс частного обучения. Проект объединяет в едином защищенном цифровом пространстве подбор проверенных репетиторов, бронирование занятий, безопасные оплаты, внутренние коммуникации и инструменты для контроля реального образовательного прогресса ученика.</w:t>
      </w:r>
    </w:p>
    <w:p>
      <w:pPr>
        <w:spacing w:after="120" w:line="276" w:lineRule="auto"/>
      </w:pPr>
      <w:r>
        <w:rPr>
          <w:rFonts w:ascii="Arial" w:hAnsi="Arial"/>
        </w:rPr>
        <w:t>В отличие от традиционных каталогов объявлений, Edusfera смещает фокус с простой покупки «часов репетитора» на достижение прогнозируемого результата — успешную подготовку к школьным экзаменам, Централизованному Экзамену (ЦЭ) и Централизованному Тестированию (ЦТ) в Беларуси.</w:t>
      </w:r>
    </w:p>
    <w:p>
      <w:pPr>
        <w:spacing w:after="120" w:line="276" w:lineRule="auto"/>
      </w:pPr>
      <w:r>
        <w:rPr>
          <w:rFonts w:ascii="Arial" w:hAnsi="Arial"/>
        </w:rPr>
        <w:t>Архитектура ценности Edusfera состоит из трех взаимосвязанных слоев:</w:t>
      </w:r>
    </w:p>
    <w:p>
      <w:pPr>
        <w:pStyle w:val="ListBullet"/>
        <w:spacing w:after="120" w:line="276" w:lineRule="auto"/>
      </w:pPr>
      <w:r>
        <w:rPr>
          <w:rFonts w:ascii="Arial" w:hAnsi="Arial"/>
          <w:b/>
        </w:rPr>
        <w:t>1. Marketplace Layer (Слой подбора):</w:t>
      </w:r>
      <w:r>
        <w:rPr>
          <w:rFonts w:ascii="Arial" w:hAnsi="Arial"/>
        </w:rPr>
        <w:t xml:space="preserve"> — система каталогизации, интеллектуального поиска и фильтрации преподавателей по предметам, стоимости, рейтингу и доступности. Каждый профиль репетитора проходит обязательную предварительную модерацию и верификацию.</w:t>
      </w:r>
    </w:p>
    <w:p>
      <w:pPr>
        <w:pStyle w:val="ListBullet"/>
        <w:spacing w:after="120" w:line="276" w:lineRule="auto"/>
      </w:pPr>
      <w:r>
        <w:rPr>
          <w:rFonts w:ascii="Arial" w:hAnsi="Arial"/>
          <w:b/>
        </w:rPr>
        <w:t>2. Transaction Layer (Транзакционный слой):</w:t>
      </w:r>
      <w:r>
        <w:rPr>
          <w:rFonts w:ascii="Arial" w:hAnsi="Arial"/>
        </w:rPr>
        <w:t xml:space="preserve"> — инфраструктура безопасных транзакций, которая включает в себя холдирование оплаты до успешного подтверждения проведения урока, покупку уроков пакетами (со скидками), личные кошельки пользователей, прозрачный механизм возвратов и встроенный чат с маскированием личных контактов до совершения первой оплаты для борьбы с обходом платформы.</w:t>
      </w:r>
    </w:p>
    <w:p>
      <w:pPr>
        <w:pStyle w:val="ListBullet"/>
        <w:spacing w:after="120" w:line="276" w:lineRule="auto"/>
      </w:pPr>
      <w:r>
        <w:rPr>
          <w:rFonts w:ascii="Arial" w:hAnsi="Arial"/>
          <w:b/>
        </w:rPr>
        <w:t>3. Outcome Layer (Слой результатов):</w:t>
      </w:r>
      <w:r>
        <w:rPr>
          <w:rFonts w:ascii="Arial" w:hAnsi="Arial"/>
        </w:rPr>
        <w:t xml:space="preserve"> — методический блок, ориентированный на учебный результат. Он включает входное тестирование (диагностику), ведение целей обучения (Student Goals), карту пробелов знаний (Skill Gaps), отчетность репетитора после каждого урока (Lesson Reports), интерактивные домашние задания и поддержку со стороны искусственного интеллекта (AI Assistant).</w:t>
      </w:r>
    </w:p>
    <w:p>
      <w:pPr>
        <w:keepNext/>
        <w:spacing w:before="360" w:after="120"/>
      </w:pPr>
      <w:r>
        <w:rPr>
          <w:rFonts w:ascii="Arial" w:hAnsi="Arial"/>
          <w:b/>
          <w:color w:val="1E3A8A"/>
          <w:sz w:val="36"/>
        </w:rPr>
        <w:t>2. Как работает платформа (Пошаговый процесс)</w:t>
      </w:r>
    </w:p>
    <w:p>
      <w:pPr>
        <w:spacing w:after="120" w:line="276" w:lineRule="auto"/>
      </w:pPr>
      <w:r>
        <w:rPr>
          <w:rFonts w:ascii="Arial" w:hAnsi="Arial"/>
        </w:rPr>
        <w:t>Взаимодействие участников на платформе организовано по простому и прозрачному алгоритму, который обеспечивает безопасность сделки и высокое качество обучения:</w:t>
      </w:r>
    </w:p>
    <w:p>
      <w:pPr>
        <w:pStyle w:val="ListBullet"/>
        <w:spacing w:after="120" w:line="276" w:lineRule="auto"/>
      </w:pPr>
      <w:r>
        <w:rPr>
          <w:rFonts w:ascii="Arial" w:hAnsi="Arial"/>
          <w:b/>
        </w:rPr>
        <w:t xml:space="preserve">Шаг 1: Подбор преподавателя. </w:t>
      </w:r>
      <w:r>
        <w:rPr>
          <w:rFonts w:ascii="Arial" w:hAnsi="Arial"/>
        </w:rPr>
        <w:t>Родитель или ученик открывают публичный каталог. Фильтры позволяют выбрать преподавателя по предмету, стоимости часа, рейтингу и свободным слотам времени. Все отзывы о преподавателях оставляются только реальными учениками после проведенных занятий, что гарантирует честность рейтинга.</w:t>
      </w:r>
    </w:p>
    <w:p>
      <w:pPr>
        <w:pStyle w:val="ListBullet"/>
        <w:spacing w:after="120" w:line="276" w:lineRule="auto"/>
      </w:pPr>
      <w:r>
        <w:rPr>
          <w:rFonts w:ascii="Arial" w:hAnsi="Arial"/>
          <w:b/>
        </w:rPr>
        <w:t xml:space="preserve">Шаг 2: Бронирование и оплата. </w:t>
      </w:r>
      <w:r>
        <w:rPr>
          <w:rFonts w:ascii="Arial" w:hAnsi="Arial"/>
        </w:rPr>
        <w:t>После выбора преподавателя родитель бронирует удобный временной слот в его календаре. Система осуществляет 15-минутный холд средств для завершения оплаты. Родитель может оплатить как одно занятие, так и пакет из нескольких занятий (например, пакет из 4 уроков со сниженным чеком).</w:t>
      </w:r>
    </w:p>
    <w:p>
      <w:pPr>
        <w:pStyle w:val="ListBullet"/>
        <w:spacing w:after="120" w:line="276" w:lineRule="auto"/>
      </w:pPr>
      <w:r>
        <w:rPr>
          <w:rFonts w:ascii="Arial" w:hAnsi="Arial"/>
          <w:b/>
        </w:rPr>
        <w:t xml:space="preserve">Шаг 3: Обучение и коммуникация. </w:t>
      </w:r>
      <w:r>
        <w:rPr>
          <w:rFonts w:ascii="Arial" w:hAnsi="Arial"/>
        </w:rPr>
        <w:t>После оплаты открывается доступ к прямому общению. До этого момента чат платформы автоматически блокирует попытки передачи прямых контактов (номеров телефонов, ссылок на мессенджеры), защищая транзакционный контур. Само занятие может проходить как очно, так и в интерактивном Виртуальном Классе Edusfera с использованием стабильной видеосвязи WebRTC и встроенной Канбан-доски Workspace, где учитель и ученик совместно выполняют задания, ведут заметки и пишут код.</w:t>
      </w:r>
    </w:p>
    <w:p>
      <w:pPr>
        <w:pStyle w:val="ListBullet"/>
        <w:spacing w:after="120" w:line="276" w:lineRule="auto"/>
      </w:pPr>
      <w:r>
        <w:rPr>
          <w:rFonts w:ascii="Arial" w:hAnsi="Arial"/>
          <w:b/>
        </w:rPr>
        <w:t xml:space="preserve">Шаг 4: Контроль прогресса и результата. </w:t>
      </w:r>
      <w:r>
        <w:rPr>
          <w:rFonts w:ascii="Arial" w:hAnsi="Arial"/>
        </w:rPr>
        <w:t>Перед началом занятий ученик проходит диагностический тест. На основе теста создается персональный трек подготовки с указанием целевого балла (например, 85+ баллов на ЦЭ). Преподаватель фиксирует слабые темы ученика. После каждого урока преподаватель заполняет отчет по успеваемости, который мгновенно становится доступен родителю в его личном кабинете. Ученик выполняет домашние задания прямо на платформе, а система обновляет график прогресса.</w:t>
      </w:r>
    </w:p>
    <w:p>
      <w:pPr>
        <w:keepNext/>
        <w:spacing w:before="360" w:after="120"/>
      </w:pPr>
      <w:r>
        <w:rPr>
          <w:rFonts w:ascii="Arial" w:hAnsi="Arial"/>
          <w:b/>
          <w:color w:val="1E3A8A"/>
          <w:sz w:val="36"/>
        </w:rPr>
        <w:t>3. Бизнес-модель Buyer-Pays (Airbnb логика)</w:t>
      </w:r>
    </w:p>
    <w:p>
      <w:pPr>
        <w:spacing w:after="120" w:line="276" w:lineRule="auto"/>
      </w:pPr>
      <w:r>
        <w:rPr>
          <w:rFonts w:ascii="Arial" w:hAnsi="Arial"/>
        </w:rPr>
        <w:t>Edusfera.by функционирует на основе передовой модели монетизации Buyer-Pays (аналогично Airbnb), которая решает главную проблему традиционных образовательных маркетплейсов — уход пользователей в серую зону ради экономии на комиссиях.</w:t>
      </w:r>
    </w:p>
    <w:p>
      <w:pPr>
        <w:spacing w:after="120" w:line="276" w:lineRule="auto"/>
      </w:pPr>
      <w:r>
        <w:rPr>
          <w:rFonts w:ascii="Arial" w:hAnsi="Arial"/>
        </w:rPr>
        <w:t>Ключевые принципы модели:</w:t>
      </w:r>
    </w:p>
    <w:p>
      <w:pPr>
        <w:pStyle w:val="ListBullet"/>
        <w:spacing w:after="120" w:line="276" w:lineRule="auto"/>
      </w:pPr>
      <w:r>
        <w:rPr>
          <w:rFonts w:ascii="Arial" w:hAnsi="Arial"/>
          <w:b/>
        </w:rPr>
        <w:t xml:space="preserve">0% комиссии с дохода репетитора. </w:t>
      </w:r>
      <w:r>
        <w:rPr>
          <w:rFonts w:ascii="Arial" w:hAnsi="Arial"/>
        </w:rPr>
        <w:t>Платформа не вычитает комиссию из заявленной ставки преподавателя. Если репетитор указал ставку 40 BYN за час, он получит ровно 40 BYN на свой счет (до вычета его личного налога НПД). Это стимулирует преподавателей переносить все свои занятия на платформу и рекомендовать ее коллегам.</w:t>
      </w:r>
    </w:p>
    <w:p>
      <w:pPr>
        <w:pStyle w:val="ListBullet"/>
        <w:spacing w:after="120" w:line="276" w:lineRule="auto"/>
      </w:pPr>
      <w:r>
        <w:rPr>
          <w:rFonts w:ascii="Arial" w:hAnsi="Arial"/>
          <w:b/>
        </w:rPr>
        <w:t xml:space="preserve">Сервисный сбор с покупателя (Service Fee). </w:t>
      </w:r>
      <w:r>
        <w:rPr>
          <w:rFonts w:ascii="Arial" w:hAnsi="Arial"/>
        </w:rPr>
        <w:t>Сбор в размере 15% начисляется поверх ставки репетитора и оплачивается родителем (покупателем). Этот сбор обоснован предоставлением ИТ-инфраструктуры: безопасных платежей, автоматического календаря, интерактивного класса, контроля домашних заданий, входных диагностик и отчетов преподавателей.</w:t>
      </w:r>
    </w:p>
    <w:p>
      <w:pPr>
        <w:pStyle w:val="ListBullet"/>
        <w:spacing w:after="120" w:line="276" w:lineRule="auto"/>
      </w:pPr>
      <w:r>
        <w:rPr>
          <w:rFonts w:ascii="Arial" w:hAnsi="Arial"/>
          <w:b/>
        </w:rPr>
        <w:t xml:space="preserve">Специальный инвайт-режим (Invite Mode). </w:t>
      </w:r>
      <w:r>
        <w:rPr>
          <w:rFonts w:ascii="Arial" w:hAnsi="Arial"/>
        </w:rPr>
        <w:t>Если репетитор переносит на платформу своих уже существующих учеников из офлайна, сервисный сбор для них снижается с 15% до 4%. Этот сбор покрывает лишь себестоимость банковского эквайринга, предоставляя преподавателю бесплатную CRM-систему для ведения своего расписания и контроля успеваемости учеников.</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60" w:type="dxa"/>
              <w:right w:w="160" w:type="dxa"/>
            </w:tcMar>
            <w:tcBorders>
              <w:top w:val="single" w:sz="4" w:space="0" w:color="CBD5E1"/>
              <w:bottom w:val="single" w:sz="6" w:space="0" w:color="CBD5E1"/>
              <w:left w:val="none"/>
              <w:right w:val="none"/>
            </w:tcBorders>
          </w:tcPr>
          <w:p>
            <w:pPr>
              <w:jc w:val="center"/>
            </w:pPr>
            <w:r>
              <w:rPr>
                <w:rFonts w:ascii="Arial" w:hAnsi="Arial"/>
                <w:b/>
                <w:color w:val="FFFFFF"/>
                <w:sz w:val="20"/>
              </w:rPr>
              <w:t>Показатель</w:t>
            </w:r>
          </w:p>
        </w:tc>
        <w:tc>
          <w:tcPr>
            <w:tcW w:type="dxa" w:w="2340"/>
            <w:shd w:fill="1E3A8A"/>
            <w:tcMar>
              <w:top w:w="120" w:type="dxa"/>
              <w:bottom w:w="120" w:type="dxa"/>
              <w:left w:w="160" w:type="dxa"/>
              <w:right w:w="160" w:type="dxa"/>
            </w:tcMar>
            <w:tcBorders>
              <w:top w:val="single" w:sz="4" w:space="0" w:color="CBD5E1"/>
              <w:bottom w:val="single" w:sz="6" w:space="0" w:color="CBD5E1"/>
              <w:left w:val="none"/>
              <w:right w:val="none"/>
            </w:tcBorders>
          </w:tcPr>
          <w:p>
            <w:pPr>
              <w:jc w:val="center"/>
            </w:pPr>
            <w:r>
              <w:rPr>
                <w:rFonts w:ascii="Arial" w:hAnsi="Arial"/>
                <w:b/>
                <w:color w:val="FFFFFF"/>
                <w:sz w:val="20"/>
              </w:rPr>
              <w:t>Базовый урок</w:t>
            </w:r>
          </w:p>
        </w:tc>
        <w:tc>
          <w:tcPr>
            <w:tcW w:type="dxa" w:w="2340"/>
            <w:shd w:fill="1E3A8A"/>
            <w:tcMar>
              <w:top w:w="120" w:type="dxa"/>
              <w:bottom w:w="120" w:type="dxa"/>
              <w:left w:w="160" w:type="dxa"/>
              <w:right w:w="160" w:type="dxa"/>
            </w:tcMar>
            <w:tcBorders>
              <w:top w:val="single" w:sz="4" w:space="0" w:color="CBD5E1"/>
              <w:bottom w:val="single" w:sz="6" w:space="0" w:color="CBD5E1"/>
              <w:left w:val="none"/>
              <w:right w:val="none"/>
            </w:tcBorders>
          </w:tcPr>
          <w:p>
            <w:pPr>
              <w:jc w:val="center"/>
            </w:pPr>
            <w:r>
              <w:rPr>
                <w:rFonts w:ascii="Arial" w:hAnsi="Arial"/>
                <w:b/>
                <w:color w:val="FFFFFF"/>
                <w:sz w:val="20"/>
              </w:rPr>
              <w:t>Пакет из 4-х уроков</w:t>
            </w:r>
          </w:p>
        </w:tc>
        <w:tc>
          <w:tcPr>
            <w:tcW w:type="dxa" w:w="2340"/>
            <w:shd w:fill="1E3A8A"/>
            <w:tcMar>
              <w:top w:w="120" w:type="dxa"/>
              <w:bottom w:w="120" w:type="dxa"/>
              <w:left w:w="160" w:type="dxa"/>
              <w:right w:w="160" w:type="dxa"/>
            </w:tcMar>
            <w:tcBorders>
              <w:top w:val="single" w:sz="4" w:space="0" w:color="CBD5E1"/>
              <w:bottom w:val="single" w:sz="6" w:space="0" w:color="CBD5E1"/>
              <w:left w:val="none"/>
              <w:right w:val="none"/>
            </w:tcBorders>
          </w:tcPr>
          <w:p>
            <w:pPr>
              <w:jc w:val="center"/>
            </w:pPr>
            <w:r>
              <w:rPr>
                <w:rFonts w:ascii="Arial" w:hAnsi="Arial"/>
                <w:b/>
                <w:color w:val="FFFFFF"/>
                <w:sz w:val="20"/>
              </w:rPr>
              <w:t>Инвайт-режим (4%)</w:t>
            </w:r>
          </w:p>
        </w:tc>
      </w:tr>
      <w:tr>
        <w:tc>
          <w:tcPr>
            <w:tcW w:type="dxa" w:w="2340"/>
            <w:shd w:fill="F8FAFC"/>
            <w:tcMar>
              <w:top w:w="120" w:type="dxa"/>
              <w:bottom w:w="120" w:type="dxa"/>
              <w:left w:w="160" w:type="dxa"/>
              <w:right w:w="160" w:type="dxa"/>
            </w:tcMar>
            <w:tcBorders>
              <w:top w:val="single" w:sz="4" w:space="0" w:color="CBD5E1"/>
              <w:bottom w:val="single" w:sz="6" w:space="0" w:color="CBD5E1"/>
              <w:left w:val="none"/>
              <w:right w:val="none"/>
            </w:tcBorders>
          </w:tcPr>
          <w:p>
            <w:r>
              <w:rPr>
                <w:rFonts w:ascii="Arial" w:hAnsi="Arial"/>
                <w:sz w:val="20"/>
              </w:rPr>
              <w:t>Ставка преподавателя (R)</w:t>
            </w:r>
          </w:p>
        </w:tc>
        <w:tc>
          <w:tcPr>
            <w:tcW w:type="dxa" w:w="2340"/>
            <w:shd w:fill="F8FAFC"/>
            <w:tcMar>
              <w:top w:w="120" w:type="dxa"/>
              <w:bottom w:w="120" w:type="dxa"/>
              <w:left w:w="160" w:type="dxa"/>
              <w:right w:w="160" w:type="dxa"/>
            </w:tcMar>
            <w:tcBorders>
              <w:top w:val="single" w:sz="4" w:space="0" w:color="CBD5E1"/>
              <w:bottom w:val="single" w:sz="6" w:space="0" w:color="CBD5E1"/>
              <w:left w:val="none"/>
              <w:right w:val="none"/>
            </w:tcBorders>
          </w:tcPr>
          <w:p>
            <w:pPr>
              <w:jc w:val="right"/>
            </w:pPr>
            <w:r>
              <w:rPr>
                <w:rFonts w:ascii="Arial" w:hAnsi="Arial"/>
                <w:sz w:val="20"/>
              </w:rPr>
              <w:t>40.00 BYN</w:t>
            </w:r>
          </w:p>
        </w:tc>
        <w:tc>
          <w:tcPr>
            <w:tcW w:type="dxa" w:w="2340"/>
            <w:shd w:fill="F8FAFC"/>
            <w:tcMar>
              <w:top w:w="120" w:type="dxa"/>
              <w:bottom w:w="120" w:type="dxa"/>
              <w:left w:w="160" w:type="dxa"/>
              <w:right w:w="160" w:type="dxa"/>
            </w:tcMar>
            <w:tcBorders>
              <w:top w:val="single" w:sz="4" w:space="0" w:color="CBD5E1"/>
              <w:bottom w:val="single" w:sz="6" w:space="0" w:color="CBD5E1"/>
              <w:left w:val="none"/>
              <w:right w:val="none"/>
            </w:tcBorders>
          </w:tcPr>
          <w:p>
            <w:pPr>
              <w:jc w:val="right"/>
            </w:pPr>
            <w:r>
              <w:rPr>
                <w:rFonts w:ascii="Arial" w:hAnsi="Arial"/>
                <w:sz w:val="20"/>
              </w:rPr>
              <w:t>160.00 BYN</w:t>
            </w:r>
          </w:p>
        </w:tc>
        <w:tc>
          <w:tcPr>
            <w:tcW w:type="dxa" w:w="2340"/>
            <w:shd w:fill="F8FAFC"/>
            <w:tcMar>
              <w:top w:w="120" w:type="dxa"/>
              <w:bottom w:w="120" w:type="dxa"/>
              <w:left w:w="160" w:type="dxa"/>
              <w:right w:w="160" w:type="dxa"/>
            </w:tcMar>
            <w:tcBorders>
              <w:top w:val="single" w:sz="4" w:space="0" w:color="CBD5E1"/>
              <w:bottom w:val="single" w:sz="6" w:space="0" w:color="CBD5E1"/>
              <w:left w:val="none"/>
              <w:right w:val="none"/>
            </w:tcBorders>
          </w:tcPr>
          <w:p>
            <w:pPr>
              <w:jc w:val="right"/>
            </w:pPr>
            <w:r>
              <w:rPr>
                <w:rFonts w:ascii="Arial" w:hAnsi="Arial"/>
                <w:sz w:val="20"/>
              </w:rPr>
              <w:t>40.00 BYN</w:t>
            </w:r>
          </w:p>
        </w:tc>
      </w:tr>
      <w:tr>
        <w:tc>
          <w:tcPr>
            <w:tcW w:type="dxa" w:w="2340"/>
            <w:shd w:fill="FFFFFF"/>
            <w:tcMar>
              <w:top w:w="120" w:type="dxa"/>
              <w:bottom w:w="120" w:type="dxa"/>
              <w:left w:w="160" w:type="dxa"/>
              <w:right w:w="160" w:type="dxa"/>
            </w:tcMar>
            <w:tcBorders>
              <w:top w:val="single" w:sz="4" w:space="0" w:color="CBD5E1"/>
              <w:bottom w:val="single" w:sz="6" w:space="0" w:color="CBD5E1"/>
              <w:left w:val="none"/>
              <w:right w:val="none"/>
            </w:tcBorders>
          </w:tcPr>
          <w:p>
            <w:r>
              <w:rPr>
                <w:rFonts w:ascii="Arial" w:hAnsi="Arial"/>
                <w:sz w:val="20"/>
              </w:rPr>
              <w:t>Сервисный сбор платформы</w:t>
            </w:r>
          </w:p>
        </w:tc>
        <w:tc>
          <w:tcPr>
            <w:tcW w:type="dxa" w:w="2340"/>
            <w:shd w:fill="FFFFFF"/>
            <w:tcMar>
              <w:top w:w="120" w:type="dxa"/>
              <w:bottom w:w="120" w:type="dxa"/>
              <w:left w:w="160" w:type="dxa"/>
              <w:right w:w="160" w:type="dxa"/>
            </w:tcMar>
            <w:tcBorders>
              <w:top w:val="single" w:sz="4" w:space="0" w:color="CBD5E1"/>
              <w:bottom w:val="single" w:sz="6" w:space="0" w:color="CBD5E1"/>
              <w:left w:val="none"/>
              <w:right w:val="none"/>
            </w:tcBorders>
          </w:tcPr>
          <w:p>
            <w:pPr>
              <w:jc w:val="right"/>
            </w:pPr>
            <w:r>
              <w:rPr>
                <w:rFonts w:ascii="Arial" w:hAnsi="Arial"/>
                <w:sz w:val="20"/>
              </w:rPr>
              <w:t>6.00 BYN (15%)</w:t>
            </w:r>
          </w:p>
        </w:tc>
        <w:tc>
          <w:tcPr>
            <w:tcW w:type="dxa" w:w="2340"/>
            <w:shd w:fill="FFFFFF"/>
            <w:tcMar>
              <w:top w:w="120" w:type="dxa"/>
              <w:bottom w:w="120" w:type="dxa"/>
              <w:left w:w="160" w:type="dxa"/>
              <w:right w:w="160" w:type="dxa"/>
            </w:tcMar>
            <w:tcBorders>
              <w:top w:val="single" w:sz="4" w:space="0" w:color="CBD5E1"/>
              <w:bottom w:val="single" w:sz="6" w:space="0" w:color="CBD5E1"/>
              <w:left w:val="none"/>
              <w:right w:val="none"/>
            </w:tcBorders>
          </w:tcPr>
          <w:p>
            <w:pPr>
              <w:jc w:val="right"/>
            </w:pPr>
            <w:r>
              <w:rPr>
                <w:rFonts w:ascii="Arial" w:hAnsi="Arial"/>
                <w:sz w:val="20"/>
              </w:rPr>
              <w:t>24.00 BYN (15%)</w:t>
            </w:r>
          </w:p>
        </w:tc>
        <w:tc>
          <w:tcPr>
            <w:tcW w:type="dxa" w:w="2340"/>
            <w:shd w:fill="FFFFFF"/>
            <w:tcMar>
              <w:top w:w="120" w:type="dxa"/>
              <w:bottom w:w="120" w:type="dxa"/>
              <w:left w:w="160" w:type="dxa"/>
              <w:right w:w="160" w:type="dxa"/>
            </w:tcMar>
            <w:tcBorders>
              <w:top w:val="single" w:sz="4" w:space="0" w:color="CBD5E1"/>
              <w:bottom w:val="single" w:sz="6" w:space="0" w:color="CBD5E1"/>
              <w:left w:val="none"/>
              <w:right w:val="none"/>
            </w:tcBorders>
          </w:tcPr>
          <w:p>
            <w:pPr>
              <w:jc w:val="right"/>
            </w:pPr>
            <w:r>
              <w:rPr>
                <w:rFonts w:ascii="Arial" w:hAnsi="Arial"/>
                <w:sz w:val="20"/>
              </w:rPr>
              <w:t>1.60 BYN (4%)</w:t>
            </w:r>
          </w:p>
        </w:tc>
      </w:tr>
      <w:tr>
        <w:tc>
          <w:tcPr>
            <w:tcW w:type="dxa" w:w="2340"/>
            <w:shd w:fill="F8FAFC"/>
            <w:tcMar>
              <w:top w:w="120" w:type="dxa"/>
              <w:bottom w:w="120" w:type="dxa"/>
              <w:left w:w="160" w:type="dxa"/>
              <w:right w:w="160" w:type="dxa"/>
            </w:tcMar>
            <w:tcBorders>
              <w:top w:val="single" w:sz="4" w:space="0" w:color="CBD5E1"/>
              <w:bottom w:val="single" w:sz="6" w:space="0" w:color="CBD5E1"/>
              <w:left w:val="none"/>
              <w:right w:val="none"/>
            </w:tcBorders>
          </w:tcPr>
          <w:p>
            <w:r>
              <w:rPr>
                <w:rFonts w:ascii="Arial" w:hAnsi="Arial"/>
                <w:b/>
                <w:sz w:val="20"/>
              </w:rPr>
              <w:t>Итого чек на чекауте</w:t>
            </w:r>
          </w:p>
        </w:tc>
        <w:tc>
          <w:tcPr>
            <w:tcW w:type="dxa" w:w="2340"/>
            <w:shd w:fill="F8FAFC"/>
            <w:tcMar>
              <w:top w:w="120" w:type="dxa"/>
              <w:bottom w:w="120" w:type="dxa"/>
              <w:left w:w="160" w:type="dxa"/>
              <w:right w:w="160" w:type="dxa"/>
            </w:tcMar>
            <w:tcBorders>
              <w:top w:val="single" w:sz="4" w:space="0" w:color="CBD5E1"/>
              <w:bottom w:val="single" w:sz="6" w:space="0" w:color="CBD5E1"/>
              <w:left w:val="none"/>
              <w:right w:val="none"/>
            </w:tcBorders>
          </w:tcPr>
          <w:p>
            <w:pPr>
              <w:jc w:val="right"/>
            </w:pPr>
            <w:r>
              <w:rPr>
                <w:rFonts w:ascii="Arial" w:hAnsi="Arial"/>
                <w:b/>
                <w:sz w:val="20"/>
              </w:rPr>
              <w:t>46.00 BYN</w:t>
            </w:r>
          </w:p>
        </w:tc>
        <w:tc>
          <w:tcPr>
            <w:tcW w:type="dxa" w:w="2340"/>
            <w:shd w:fill="F8FAFC"/>
            <w:tcMar>
              <w:top w:w="120" w:type="dxa"/>
              <w:bottom w:w="120" w:type="dxa"/>
              <w:left w:w="160" w:type="dxa"/>
              <w:right w:w="160" w:type="dxa"/>
            </w:tcMar>
            <w:tcBorders>
              <w:top w:val="single" w:sz="4" w:space="0" w:color="CBD5E1"/>
              <w:bottom w:val="single" w:sz="6" w:space="0" w:color="CBD5E1"/>
              <w:left w:val="none"/>
              <w:right w:val="none"/>
            </w:tcBorders>
          </w:tcPr>
          <w:p>
            <w:pPr>
              <w:jc w:val="right"/>
            </w:pPr>
            <w:r>
              <w:rPr>
                <w:rFonts w:ascii="Arial" w:hAnsi="Arial"/>
                <w:b/>
                <w:sz w:val="20"/>
              </w:rPr>
              <w:t>184.00 BYN</w:t>
            </w:r>
          </w:p>
        </w:tc>
        <w:tc>
          <w:tcPr>
            <w:tcW w:type="dxa" w:w="2340"/>
            <w:shd w:fill="F8FAFC"/>
            <w:tcMar>
              <w:top w:w="120" w:type="dxa"/>
              <w:bottom w:w="120" w:type="dxa"/>
              <w:left w:w="160" w:type="dxa"/>
              <w:right w:w="160" w:type="dxa"/>
            </w:tcMar>
            <w:tcBorders>
              <w:top w:val="single" w:sz="4" w:space="0" w:color="CBD5E1"/>
              <w:bottom w:val="single" w:sz="6" w:space="0" w:color="CBD5E1"/>
              <w:left w:val="none"/>
              <w:right w:val="none"/>
            </w:tcBorders>
          </w:tcPr>
          <w:p>
            <w:pPr>
              <w:jc w:val="right"/>
            </w:pPr>
            <w:r>
              <w:rPr>
                <w:rFonts w:ascii="Arial" w:hAnsi="Arial"/>
                <w:b/>
                <w:sz w:val="20"/>
              </w:rPr>
              <w:t>41.60 BYN</w:t>
            </w:r>
          </w:p>
        </w:tc>
      </w:tr>
    </w:tbl>
    <w:p>
      <w:pPr>
        <w:spacing w:after="200"/>
      </w:pPr>
    </w:p>
    <w:p>
      <w:pPr>
        <w:keepNext/>
        <w:spacing w:before="360" w:after="120"/>
      </w:pPr>
      <w:r>
        <w:rPr>
          <w:rFonts w:ascii="Arial" w:hAnsi="Arial"/>
          <w:b/>
          <w:color w:val="1E3A8A"/>
          <w:sz w:val="36"/>
        </w:rPr>
        <w:t>4. Уникальные образовательные инструменты (Outcome Layer)</w:t>
      </w:r>
    </w:p>
    <w:p>
      <w:pPr>
        <w:spacing w:after="120" w:line="276" w:lineRule="auto"/>
      </w:pPr>
      <w:r>
        <w:rPr>
          <w:rFonts w:ascii="Arial" w:hAnsi="Arial"/>
        </w:rPr>
        <w:t>Edusfera.by не просто организует созвоны, а управляет обучением. В платформу интегрирован мощный методический функционал:</w:t>
      </w:r>
    </w:p>
    <w:p>
      <w:pPr>
        <w:pStyle w:val="ListBullet"/>
        <w:spacing w:after="120" w:line="276" w:lineRule="auto"/>
      </w:pPr>
      <w:r>
        <w:rPr>
          <w:rFonts w:ascii="Arial" w:hAnsi="Arial"/>
          <w:b/>
        </w:rPr>
        <w:t>Образовательные цели (Student Goals):</w:t>
      </w:r>
      <w:r>
        <w:rPr>
          <w:rFonts w:ascii="Arial" w:hAnsi="Arial"/>
        </w:rPr>
        <w:t xml:space="preserve"> — фиксация желаемого результата ученика, типа экзамена (ЦТ, ЦЭ, школьная программа), текущего балла и дедлайна. Весь процесс обучения выстраивается вокруг этой цели.</w:t>
      </w:r>
    </w:p>
    <w:p>
      <w:pPr>
        <w:pStyle w:val="ListBullet"/>
        <w:spacing w:after="120" w:line="276" w:lineRule="auto"/>
      </w:pPr>
      <w:r>
        <w:rPr>
          <w:rFonts w:ascii="Arial" w:hAnsi="Arial"/>
          <w:b/>
        </w:rPr>
        <w:t>Карта пробелов (Skill Gaps):</w:t>
      </w:r>
      <w:r>
        <w:rPr>
          <w:rFonts w:ascii="Arial" w:hAnsi="Arial"/>
        </w:rPr>
        <w:t xml:space="preserve"> — интерактивный инструмент, отображающий темы школьной программы по выбранному предмету. Система автоматически подсвечивает проблемные зоны на основе тестов и домашних работ, показывая динамику их устранения.</w:t>
      </w:r>
    </w:p>
    <w:p>
      <w:pPr>
        <w:pStyle w:val="ListBullet"/>
        <w:spacing w:after="120" w:line="276" w:lineRule="auto"/>
      </w:pPr>
      <w:r>
        <w:rPr>
          <w:rFonts w:ascii="Arial" w:hAnsi="Arial"/>
          <w:b/>
        </w:rPr>
        <w:t>Постурочные отчеты (Lesson Reports):</w:t>
      </w:r>
      <w:r>
        <w:rPr>
          <w:rFonts w:ascii="Arial" w:hAnsi="Arial"/>
        </w:rPr>
        <w:t xml:space="preserve"> — краткие содержательные отчеты, которые преподаватель заполняет после каждого урока. Родитель видит, какая тема изучалась, какова активность ученика, что задано на дом и на что стоит обратить внимание.</w:t>
      </w:r>
    </w:p>
    <w:p>
      <w:pPr>
        <w:pStyle w:val="ListBullet"/>
        <w:spacing w:after="120" w:line="276" w:lineRule="auto"/>
      </w:pPr>
      <w:r>
        <w:rPr>
          <w:rFonts w:ascii="Arial" w:hAnsi="Arial"/>
          <w:b/>
        </w:rPr>
        <w:t>Рабочее пространство (Workspace):</w:t>
      </w:r>
      <w:r>
        <w:rPr>
          <w:rFonts w:ascii="Arial" w:hAnsi="Arial"/>
        </w:rPr>
        <w:t xml:space="preserve"> — интерактивное пространство для совместной работы в реальном времени. Включает канбан-сетку задач, заметки с поддержкой Markdown, интерактивные чек-листы, встроенную среду для написания программного кода (с подсветкой синтаксиса для IT-уроков), просмотр учебных PDF-материалов и таймер для контроля времени выполнения тестов.</w:t>
      </w:r>
    </w:p>
    <w:p>
      <w:pPr>
        <w:pStyle w:val="ListBullet"/>
        <w:spacing w:after="120" w:line="276" w:lineRule="auto"/>
      </w:pPr>
      <w:r>
        <w:rPr>
          <w:rFonts w:ascii="Arial" w:hAnsi="Arial"/>
          <w:b/>
        </w:rPr>
        <w:t>Интеллектуальный ассистент (AI Assistant):</w:t>
      </w:r>
      <w:r>
        <w:rPr>
          <w:rFonts w:ascii="Arial" w:hAnsi="Arial"/>
        </w:rPr>
        <w:t xml:space="preserve"> — встроенный искусственный интеллект, который помогает ученику с разбором сложных тем между уроками, автоматически составляет индивидуальные домашние задания на основе зафиксированных пробелов знаний и генерирует краткое саммари прошедшего урока для родителя.</w:t>
      </w:r>
    </w:p>
    <w:p>
      <w:pPr>
        <w:keepNext/>
        <w:spacing w:before="360" w:after="120"/>
      </w:pPr>
      <w:r>
        <w:rPr>
          <w:rFonts w:ascii="Arial" w:hAnsi="Arial"/>
          <w:b/>
          <w:color w:val="1E3A8A"/>
          <w:sz w:val="36"/>
        </w:rPr>
        <w:t>5. Ценность для пользователей</w:t>
      </w:r>
    </w:p>
    <w:tbl>
      <w:tblPr>
        <w:tblW w:type="auto" w:w="0"/>
        <w:jc w:val="center"/>
        <w:tblLook w:firstColumn="1" w:firstRow="1" w:lastColumn="0" w:lastRow="0" w:noHBand="0" w:noVBand="1" w:val="04A0"/>
      </w:tblPr>
      <w:tblGrid>
        <w:gridCol w:w="4680"/>
        <w:gridCol w:w="4680"/>
      </w:tblGrid>
      <w:tr>
        <w:tc>
          <w:tcPr>
            <w:tcW w:type="dxa" w:w="4680"/>
            <w:shd w:fill="475569"/>
            <w:tcMar>
              <w:top w:w="120" w:type="dxa"/>
              <w:bottom w:w="120" w:type="dxa"/>
              <w:left w:w="160" w:type="dxa"/>
              <w:right w:w="160" w:type="dxa"/>
            </w:tcMar>
            <w:tcBorders>
              <w:top w:val="single" w:sz="4" w:space="0" w:color="CBD5E1"/>
              <w:bottom w:val="single" w:sz="6" w:space="0" w:color="CBD5E1"/>
              <w:left w:val="none"/>
              <w:right w:val="none"/>
            </w:tcBorders>
          </w:tcPr>
          <w:p>
            <w:r>
              <w:rPr>
                <w:rFonts w:ascii="Arial" w:hAnsi="Arial"/>
                <w:b/>
                <w:color w:val="FFFFFF"/>
                <w:sz w:val="20"/>
              </w:rPr>
              <w:t>Аудитория</w:t>
            </w:r>
          </w:p>
        </w:tc>
        <w:tc>
          <w:tcPr>
            <w:tcW w:type="dxa" w:w="4680"/>
            <w:shd w:fill="475569"/>
            <w:tcMar>
              <w:top w:w="120" w:type="dxa"/>
              <w:bottom w:w="120" w:type="dxa"/>
              <w:left w:w="160" w:type="dxa"/>
              <w:right w:w="160" w:type="dxa"/>
            </w:tcMar>
            <w:tcBorders>
              <w:top w:val="single" w:sz="4" w:space="0" w:color="CBD5E1"/>
              <w:bottom w:val="single" w:sz="6" w:space="0" w:color="CBD5E1"/>
              <w:left w:val="none"/>
              <w:right w:val="none"/>
            </w:tcBorders>
          </w:tcPr>
          <w:p>
            <w:r>
              <w:rPr>
                <w:rFonts w:ascii="Arial" w:hAnsi="Arial"/>
                <w:b/>
                <w:color w:val="FFFFFF"/>
                <w:sz w:val="20"/>
              </w:rPr>
              <w:t>Ключевая ценность от использования Edusfera.by</w:t>
            </w:r>
          </w:p>
        </w:tc>
      </w:tr>
      <w:tr>
        <w:tc>
          <w:tcPr>
            <w:tcW w:type="dxa" w:w="4680"/>
            <w:shd w:fill="F8FAFC"/>
            <w:tcMar>
              <w:top w:w="120" w:type="dxa"/>
              <w:bottom w:w="120" w:type="dxa"/>
              <w:left w:w="160" w:type="dxa"/>
              <w:right w:w="160" w:type="dxa"/>
            </w:tcMar>
            <w:tcBorders>
              <w:top w:val="single" w:sz="4" w:space="0" w:color="CBD5E1"/>
              <w:bottom w:val="single" w:sz="6" w:space="0" w:color="CBD5E1"/>
              <w:left w:val="none"/>
              <w:right w:val="none"/>
            </w:tcBorders>
          </w:tcPr>
          <w:p>
            <w:r>
              <w:rPr>
                <w:rFonts w:ascii="Arial" w:hAnsi="Arial"/>
                <w:b/>
                <w:sz w:val="19"/>
              </w:rPr>
              <w:t>Родитель (Плательщик)</w:t>
            </w:r>
          </w:p>
        </w:tc>
        <w:tc>
          <w:tcPr>
            <w:tcW w:type="dxa" w:w="4680"/>
            <w:shd w:fill="F8FAFC"/>
            <w:tcMar>
              <w:top w:w="120" w:type="dxa"/>
              <w:bottom w:w="120" w:type="dxa"/>
              <w:left w:w="160" w:type="dxa"/>
              <w:right w:w="160" w:type="dxa"/>
            </w:tcMar>
            <w:tcBorders>
              <w:top w:val="single" w:sz="4" w:space="0" w:color="CBD5E1"/>
              <w:bottom w:val="single" w:sz="6" w:space="0" w:color="CBD5E1"/>
              <w:left w:val="none"/>
              <w:right w:val="none"/>
            </w:tcBorders>
          </w:tcPr>
          <w:p>
            <w:r>
              <w:rPr>
                <w:rFonts w:ascii="Arial" w:hAnsi="Arial"/>
                <w:sz w:val="19"/>
              </w:rPr>
              <w:t>• Уверенность в результате благодаря четким целям и карте пробелов.</w:t>
              <w:br/>
              <w:t>• Регулярный контроль обучения через постурочные отчеты.</w:t>
              <w:br/>
              <w:t>• Безопасность денег: оплата удерживается до проведения урока, легкий возврат.</w:t>
              <w:br/>
              <w:t>• Официальный чек и легальный формат взаимоотношений с репетитором.</w:t>
            </w:r>
          </w:p>
        </w:tc>
      </w:tr>
      <w:tr>
        <w:tc>
          <w:tcPr>
            <w:tcW w:type="dxa" w:w="4680"/>
            <w:shd w:fill="FFFFFF"/>
            <w:tcMar>
              <w:top w:w="120" w:type="dxa"/>
              <w:bottom w:w="120" w:type="dxa"/>
              <w:left w:w="160" w:type="dxa"/>
              <w:right w:w="160" w:type="dxa"/>
            </w:tcMar>
            <w:tcBorders>
              <w:top w:val="single" w:sz="4" w:space="0" w:color="CBD5E1"/>
              <w:bottom w:val="single" w:sz="6" w:space="0" w:color="CBD5E1"/>
              <w:left w:val="none"/>
              <w:right w:val="none"/>
            </w:tcBorders>
          </w:tcPr>
          <w:p>
            <w:r>
              <w:rPr>
                <w:rFonts w:ascii="Arial" w:hAnsi="Arial"/>
                <w:b/>
                <w:sz w:val="19"/>
              </w:rPr>
              <w:t>Репетитор (Преподаватель)</w:t>
            </w:r>
          </w:p>
        </w:tc>
        <w:tc>
          <w:tcPr>
            <w:tcW w:type="dxa" w:w="4680"/>
            <w:shd w:fill="FFFFFF"/>
            <w:tcMar>
              <w:top w:w="120" w:type="dxa"/>
              <w:bottom w:w="120" w:type="dxa"/>
              <w:left w:w="160" w:type="dxa"/>
              <w:right w:w="160" w:type="dxa"/>
            </w:tcMar>
            <w:tcBorders>
              <w:top w:val="single" w:sz="4" w:space="0" w:color="CBD5E1"/>
              <w:bottom w:val="single" w:sz="6" w:space="0" w:color="CBD5E1"/>
              <w:left w:val="none"/>
              <w:right w:val="none"/>
            </w:tcBorders>
          </w:tcPr>
          <w:p>
            <w:r>
              <w:rPr>
                <w:rFonts w:ascii="Arial" w:hAnsi="Arial"/>
                <w:sz w:val="19"/>
              </w:rPr>
              <w:t>• 0% комиссии: вся ставка за урок идет репетитору на карту.</w:t>
              <w:br/>
              <w:t>• Стабильный поток учеников без затрат на рекламу.</w:t>
              <w:br/>
              <w:t>• Автоматизация расписания, отчетов и напоминаний ученикам.</w:t>
              <w:br/>
              <w:t>• Полная легальность деятельности в РБ (НПД-модель, прозрачные доходы для налоговой).</w:t>
            </w:r>
          </w:p>
        </w:tc>
      </w:tr>
      <w:tr>
        <w:tc>
          <w:tcPr>
            <w:tcW w:type="dxa" w:w="4680"/>
            <w:shd w:fill="F8FAFC"/>
            <w:tcMar>
              <w:top w:w="120" w:type="dxa"/>
              <w:bottom w:w="120" w:type="dxa"/>
              <w:left w:w="160" w:type="dxa"/>
              <w:right w:w="160" w:type="dxa"/>
            </w:tcMar>
            <w:tcBorders>
              <w:top w:val="single" w:sz="4" w:space="0" w:color="CBD5E1"/>
              <w:bottom w:val="single" w:sz="6" w:space="0" w:color="CBD5E1"/>
              <w:left w:val="none"/>
              <w:right w:val="none"/>
            </w:tcBorders>
          </w:tcPr>
          <w:p>
            <w:r>
              <w:rPr>
                <w:rFonts w:ascii="Arial" w:hAnsi="Arial"/>
                <w:b/>
                <w:sz w:val="19"/>
              </w:rPr>
              <w:t>Ученик</w:t>
            </w:r>
          </w:p>
        </w:tc>
        <w:tc>
          <w:tcPr>
            <w:tcW w:type="dxa" w:w="4680"/>
            <w:shd w:fill="F8FAFC"/>
            <w:tcMar>
              <w:top w:w="120" w:type="dxa"/>
              <w:bottom w:w="120" w:type="dxa"/>
              <w:left w:w="160" w:type="dxa"/>
              <w:right w:w="160" w:type="dxa"/>
            </w:tcMar>
            <w:tcBorders>
              <w:top w:val="single" w:sz="4" w:space="0" w:color="CBD5E1"/>
              <w:bottom w:val="single" w:sz="6" w:space="0" w:color="CBD5E1"/>
              <w:left w:val="none"/>
              <w:right w:val="none"/>
            </w:tcBorders>
          </w:tcPr>
          <w:p>
            <w:r>
              <w:rPr>
                <w:rFonts w:ascii="Arial" w:hAnsi="Arial"/>
                <w:sz w:val="19"/>
              </w:rPr>
              <w:t>• Увлекательный учебный процесс в современном Виртуальном Классе.</w:t>
              <w:br/>
              <w:t>• Четкий план подготовки к ЦТ/ЦЭ с отслеживанием прогресса.</w:t>
              <w:br/>
              <w:t>• Интеллектуальный AI-ассистент, готовый помочь с домашним заданием 24/7.</w:t>
              <w:br/>
              <w:t>• Интерактивная доска со всеми материалами и кодом в одном месте.</w:t>
            </w:r>
          </w:p>
        </w:tc>
      </w:tr>
    </w:tbl>
    <w:p>
      <w:pPr>
        <w:spacing w:after="200"/>
      </w:pPr>
    </w:p>
    <w:p>
      <w:pPr>
        <w:keepNext/>
        <w:spacing w:before="360" w:after="120"/>
      </w:pPr>
      <w:r>
        <w:rPr>
          <w:rFonts w:ascii="Arial" w:hAnsi="Arial"/>
          <w:b/>
          <w:color w:val="1E3A8A"/>
          <w:sz w:val="36"/>
        </w:rPr>
        <w:t>6. Технологический стек и архитектура</w:t>
      </w:r>
    </w:p>
    <w:p>
      <w:pPr>
        <w:spacing w:after="120" w:line="276" w:lineRule="auto"/>
      </w:pPr>
      <w:r>
        <w:rPr>
          <w:rFonts w:ascii="Arial" w:hAnsi="Arial"/>
        </w:rPr>
        <w:t>Edusfera.by построена с использованием современного, надежного и масштабируемого стека технологий, обеспечивающего высокую скорость работы интерфейса и отказоустойчивость финансовых операций:</w:t>
      </w:r>
    </w:p>
    <w:p>
      <w:pPr>
        <w:spacing w:after="120" w:line="276" w:lineRule="auto"/>
      </w:pPr>
      <w:r>
        <w:rPr>
          <w:rFonts w:ascii="Arial" w:hAnsi="Arial"/>
          <w:b/>
        </w:rPr>
        <w:t xml:space="preserve">• Основное приложение: </w:t>
      </w:r>
      <w:r>
        <w:rPr>
          <w:rFonts w:ascii="Arial" w:hAnsi="Arial"/>
        </w:rPr>
        <w:t>Laravel 12 — отвечает за общую бизнес-логику платформы, работу каталога, личные кабинеты на базе Filament 3, администрирование, авторизацию и модерацию чатов.</w:t>
      </w:r>
    </w:p>
    <w:p>
      <w:pPr>
        <w:spacing w:after="120" w:line="276" w:lineRule="auto"/>
      </w:pPr>
      <w:r>
        <w:rPr>
          <w:rFonts w:ascii="Arial" w:hAnsi="Arial"/>
          <w:b/>
        </w:rPr>
        <w:t xml:space="preserve">• Финансовый бэкенд: </w:t>
      </w:r>
      <w:r>
        <w:rPr>
          <w:rFonts w:ascii="Arial" w:hAnsi="Arial"/>
        </w:rPr>
        <w:t>Go — отдельный легковесный микросервис `edusfera-ledger` для ведения балансов, обработки платежей и мгновенного сплитования транзакций.</w:t>
      </w:r>
    </w:p>
    <w:p>
      <w:pPr>
        <w:spacing w:after="120" w:line="276" w:lineRule="auto"/>
      </w:pPr>
      <w:r>
        <w:rPr>
          <w:rFonts w:ascii="Arial" w:hAnsi="Arial"/>
          <w:b/>
        </w:rPr>
        <w:t xml:space="preserve">• Медиа-сервер: </w:t>
      </w:r>
      <w:r>
        <w:rPr>
          <w:rFonts w:ascii="Arial" w:hAnsi="Arial"/>
        </w:rPr>
        <w:t>Go — микросервис `edusfera-media` для обслуживания видеокомнат WebRTC SFU и мгновенного обмена изменениями на интерактивной доске Workspace.</w:t>
      </w:r>
    </w:p>
    <w:p>
      <w:pPr>
        <w:spacing w:after="120" w:line="276" w:lineRule="auto"/>
      </w:pPr>
      <w:r>
        <w:rPr>
          <w:rFonts w:ascii="Arial" w:hAnsi="Arial"/>
          <w:b/>
        </w:rPr>
        <w:t xml:space="preserve">• Шлюз API: </w:t>
      </w:r>
      <w:r>
        <w:rPr>
          <w:rFonts w:ascii="Arial" w:hAnsi="Arial"/>
        </w:rPr>
        <w:t>Kong / APISIX — обеспечивает единую безопасную точку входа (API Gateway) для всех клиентов, маршрутизацию запросов к микросервисам и сквозную JWT-авторизацию.</w:t>
      </w:r>
    </w:p>
    <w:p>
      <w:pPr>
        <w:spacing w:after="120" w:line="276" w:lineRule="auto"/>
      </w:pPr>
      <w:r>
        <w:rPr>
          <w:rFonts w:ascii="Arial" w:hAnsi="Arial"/>
          <w:b/>
        </w:rPr>
        <w:t xml:space="preserve">• Базы данных и хранилище: </w:t>
      </w:r>
      <w:r>
        <w:rPr>
          <w:rFonts w:ascii="Arial" w:hAnsi="Arial"/>
        </w:rPr>
        <w:t>PostgreSQL 16 (основная реляционная БД), Redis (кэширование, очереди, состояние реального времени доски), S3-совместимое облако (хранение файлов и учебных материалов с квотированием).</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