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i w:val="false"/>
          <w:iCs w:val="false"/>
          <w:color w:val="F2A900"/>
          <w:sz w:val="19"/>
          <w:szCs w:val="19"/>
        </w:rPr>
        <w:t xml:space="preserve">CLEARED.LIVE</w:t>
      </w:r>
    </w:p>
    <w:p>
      <w:pPr>
        <w:spacing w:after="30"/>
      </w:pPr>
      <w:r>
        <w:rPr>
          <w:rFonts w:ascii="Calibri" w:cs="Calibri" w:eastAsia="Calibri" w:hAnsi="Calibri"/>
          <w:b/>
          <w:bCs/>
          <w:i w:val="false"/>
          <w:iCs w:val="false"/>
          <w:color w:val="0D3B6E"/>
          <w:sz w:val="52"/>
          <w:szCs w:val="52"/>
        </w:rPr>
        <w:t xml:space="preserve">Next Steps</w:t>
      </w:r>
    </w:p>
    <w:p>
      <w:pPr>
        <w:pBdr>
          <w:bottom w:val="single" w:color="F2A900" w:sz="10" w:space="8"/>
        </w:pBdr>
        <w:spacing w:after="240"/>
      </w:pPr>
      <w:r>
        <w:rPr>
          <w:rFonts w:ascii="Calibri" w:cs="Calibri" w:eastAsia="Calibri" w:hAnsi="Calibri"/>
          <w:b w:val="false"/>
          <w:bCs w:val="false"/>
          <w:i w:val="false"/>
          <w:iCs w:val="false"/>
          <w:color w:val="667085"/>
          <w:sz w:val="20"/>
          <w:szCs w:val="20"/>
        </w:rPr>
        <w:t xml:space="preserve">June 22, 2026   ·   shared draft, Brian &amp; Mara</w:t>
      </w:r>
    </w:p>
    <w:p>
      <w:pPr>
        <w:spacing w:after="140" w:line="276"/>
        <w:jc w:val="left"/>
      </w:pPr>
      <w:r>
        <w:rPr>
          <w:rFonts w:ascii="Calibri" w:cs="Calibri" w:eastAsia="Calibri" w:hAnsi="Calibri"/>
          <w:b w:val="false"/>
          <w:bCs w:val="false"/>
          <w:i w:val="false"/>
          <w:iCs w:val="false"/>
          <w:color w:val="1E293B"/>
          <w:sz w:val="22"/>
          <w:szCs w:val="22"/>
        </w:rPr>
        <w:t xml:space="preserve">This is a real business — and as of this week it’s </w:t>
      </w:r>
      <w:r>
        <w:rPr>
          <w:rFonts w:ascii="Calibri" w:cs="Calibri" w:eastAsia="Calibri" w:hAnsi="Calibri"/>
          <w:b/>
          <w:bCs/>
          <w:i w:val="false"/>
          <w:iCs w:val="false"/>
          <w:color w:val="1E293B"/>
          <w:sz w:val="22"/>
          <w:szCs w:val="22"/>
        </w:rPr>
        <w:t xml:space="preserve">live software, not a concept</w:t>
      </w:r>
      <w:r>
        <w:rPr>
          <w:rFonts w:ascii="Calibri" w:cs="Calibri" w:eastAsia="Calibri" w:hAnsi="Calibri"/>
          <w:b w:val="false"/>
          <w:bCs w:val="false"/>
          <w:i w:val="false"/>
          <w:iCs w:val="false"/>
          <w:color w:val="1E293B"/>
          <w:sz w:val="22"/>
          <w:szCs w:val="22"/>
        </w:rPr>
        <w:t xml:space="preserve">. Working product deployed in production, a genuine operational problem it solves, and a warm path to exactly the right first customer through Mara. That combination is rare.</w:t>
      </w:r>
    </w:p>
    <w:p>
      <w:pPr>
        <w:spacing w:after="140" w:line="276"/>
        <w:jc w:val="left"/>
      </w:pPr>
      <w:r>
        <w:rPr>
          <w:rFonts w:ascii="Calibri" w:cs="Calibri" w:eastAsia="Calibri" w:hAnsi="Calibri"/>
          <w:b w:val="false"/>
          <w:bCs w:val="false"/>
          <w:i w:val="false"/>
          <w:iCs w:val="false"/>
          <w:color w:val="1E293B"/>
          <w:sz w:val="22"/>
          <w:szCs w:val="22"/>
        </w:rPr>
        <w:t xml:space="preserve">The model is locked and now </w:t>
      </w:r>
      <w:r>
        <w:rPr>
          <w:rFonts w:ascii="Calibri" w:cs="Calibri" w:eastAsia="Calibri" w:hAnsi="Calibri"/>
          <w:b/>
          <w:bCs/>
          <w:i w:val="false"/>
          <w:iCs w:val="false"/>
          <w:color w:val="1E293B"/>
          <w:sz w:val="22"/>
          <w:szCs w:val="22"/>
        </w:rPr>
        <w:t xml:space="preserve">built</w:t>
      </w:r>
      <w:r>
        <w:rPr>
          <w:rFonts w:ascii="Calibri" w:cs="Calibri" w:eastAsia="Calibri" w:hAnsi="Calibri"/>
          <w:b w:val="false"/>
          <w:bCs w:val="false"/>
          <w:i w:val="false"/>
          <w:iCs w:val="false"/>
          <w:color w:val="1E293B"/>
          <w:sz w:val="22"/>
          <w:szCs w:val="22"/>
        </w:rPr>
        <w:t xml:space="preserve">: </w:t>
      </w:r>
      <w:r>
        <w:rPr>
          <w:rFonts w:ascii="Calibri" w:cs="Calibri" w:eastAsia="Calibri" w:hAnsi="Calibri"/>
          <w:b/>
          <w:bCs/>
          <w:i w:val="false"/>
          <w:iCs w:val="false"/>
          <w:color w:val="1E293B"/>
          <w:sz w:val="22"/>
          <w:szCs w:val="22"/>
        </w:rPr>
        <w:t xml:space="preserve">one rail, two modes.</w:t>
      </w:r>
      <w:r>
        <w:rPr>
          <w:rFonts w:ascii="Calibri" w:cs="Calibri" w:eastAsia="Calibri" w:hAnsi="Calibri"/>
          <w:b w:val="false"/>
          <w:bCs w:val="false"/>
          <w:i w:val="false"/>
          <w:iCs w:val="false"/>
          <w:color w:val="1E293B"/>
          <w:sz w:val="22"/>
          <w:szCs w:val="22"/>
        </w:rPr>
        <w:t xml:space="preserve"> Platforms run it in </w:t>
      </w:r>
      <w:r>
        <w:rPr>
          <w:rFonts w:ascii="Calibri" w:cs="Calibri" w:eastAsia="Calibri" w:hAnsi="Calibri"/>
          <w:b w:val="false"/>
          <w:bCs w:val="false"/>
          <w:i/>
          <w:iCs/>
          <w:color w:val="1E293B"/>
          <w:sz w:val="22"/>
          <w:szCs w:val="22"/>
        </w:rPr>
        <w:t xml:space="preserve">intake</w:t>
      </w:r>
      <w:r>
        <w:rPr>
          <w:rFonts w:ascii="Calibri" w:cs="Calibri" w:eastAsia="Calibri" w:hAnsi="Calibri"/>
          <w:b w:val="false"/>
          <w:bCs w:val="false"/>
          <w:i w:val="false"/>
          <w:iCs w:val="false"/>
          <w:color w:val="1E293B"/>
          <w:sz w:val="22"/>
          <w:szCs w:val="22"/>
        </w:rPr>
        <w:t xml:space="preserve"> mode — they mandate it, producers do the work, AI drafts everything, the BA team approves. Labels run the </w:t>
      </w:r>
      <w:r>
        <w:rPr>
          <w:rFonts w:ascii="Calibri" w:cs="Calibri" w:eastAsia="Calibri" w:hAnsi="Calibri"/>
          <w:b w:val="false"/>
          <w:bCs w:val="false"/>
          <w:i/>
          <w:iCs/>
          <w:color w:val="1E293B"/>
          <w:sz w:val="22"/>
          <w:szCs w:val="22"/>
        </w:rPr>
        <w:t xml:space="preserve">same rail</w:t>
      </w:r>
      <w:r>
        <w:rPr>
          <w:rFonts w:ascii="Calibri" w:cs="Calibri" w:eastAsia="Calibri" w:hAnsi="Calibri"/>
          <w:b w:val="false"/>
          <w:bCs w:val="false"/>
          <w:i w:val="false"/>
          <w:iCs w:val="false"/>
          <w:color w:val="1E293B"/>
          <w:sz w:val="22"/>
          <w:szCs w:val="22"/>
        </w:rPr>
        <w:t xml:space="preserve"> in </w:t>
      </w:r>
      <w:r>
        <w:rPr>
          <w:rFonts w:ascii="Calibri" w:cs="Calibri" w:eastAsia="Calibri" w:hAnsi="Calibri"/>
          <w:b w:val="false"/>
          <w:bCs w:val="false"/>
          <w:i/>
          <w:iCs/>
          <w:color w:val="1E293B"/>
          <w:sz w:val="22"/>
          <w:szCs w:val="22"/>
        </w:rPr>
        <w:t xml:space="preserve">issuer</w:t>
      </w:r>
      <w:r>
        <w:rPr>
          <w:rFonts w:ascii="Calibri" w:cs="Calibri" w:eastAsia="Calibri" w:hAnsi="Calibri"/>
          <w:b w:val="false"/>
          <w:bCs w:val="false"/>
          <w:i w:val="false"/>
          <w:iCs w:val="false"/>
          <w:color w:val="1E293B"/>
          <w:sz w:val="22"/>
          <w:szCs w:val="22"/>
        </w:rPr>
        <w:t xml:space="preserve"> mode — inbound requests come in, the label verifies the clearances are real, and AI drafts a </w:t>
      </w:r>
      <w:r>
        <w:rPr>
          <w:rFonts w:ascii="Calibri" w:cs="Calibri" w:eastAsia="Calibri" w:hAnsi="Calibri"/>
          <w:b/>
          <w:bCs/>
          <w:i w:val="false"/>
          <w:iCs w:val="false"/>
          <w:color w:val="1E293B"/>
          <w:sz w:val="22"/>
          <w:szCs w:val="22"/>
        </w:rPr>
        <w:t xml:space="preserve">conditional, revocable label waiver</w:t>
      </w:r>
      <w:r>
        <w:rPr>
          <w:rFonts w:ascii="Calibri" w:cs="Calibri" w:eastAsia="Calibri" w:hAnsi="Calibri"/>
          <w:b w:val="false"/>
          <w:bCs w:val="false"/>
          <w:i w:val="false"/>
          <w:iCs w:val="false"/>
          <w:color w:val="1E293B"/>
          <w:sz w:val="22"/>
          <w:szCs w:val="22"/>
        </w:rPr>
        <w:t xml:space="preserve"> the label issues. Same engine, same AI, two ends of the same transaction. We didn’t just build a SaaS tool — we built the operating system for how content gets cleared, on both sides.</w:t>
      </w:r>
    </w:p>
    <w:p>
      <w:pPr>
        <w:spacing w:after="120" w:before="300"/>
      </w:pPr>
      <w:r>
        <w:rPr>
          <w:rFonts w:ascii="Calibri" w:cs="Calibri" w:eastAsia="Calibri" w:hAnsi="Calibri"/>
          <w:b/>
          <w:bCs/>
          <w:i w:val="false"/>
          <w:iCs w:val="false"/>
          <w:color w:val="0D3B6E"/>
          <w:sz w:val="28"/>
          <w:szCs w:val="28"/>
        </w:rPr>
        <w:t xml:space="preserve">Why we can win this</w:t>
      </w:r>
    </w:p>
    <w:p>
      <w:pPr>
        <w:spacing w:after="140" w:line="276"/>
        <w:jc w:val="left"/>
      </w:pPr>
      <w:r>
        <w:rPr>
          <w:rFonts w:ascii="Calibri" w:cs="Calibri" w:eastAsia="Calibri" w:hAnsi="Calibri"/>
          <w:b w:val="false"/>
          <w:bCs w:val="false"/>
          <w:i w:val="false"/>
          <w:iCs w:val="false"/>
          <w:color w:val="1E293B"/>
          <w:sz w:val="22"/>
          <w:szCs w:val="22"/>
        </w:rPr>
        <w:t xml:space="preserve">We’re two 20-year entertainment attorneys selling clearance software to entertainment lawyers. That’s the unfair advantage: </w:t>
      </w:r>
      <w:r>
        <w:rPr>
          <w:rFonts w:ascii="Calibri" w:cs="Calibri" w:eastAsia="Calibri" w:hAnsi="Calibri"/>
          <w:b/>
          <w:bCs/>
          <w:i w:val="false"/>
          <w:iCs w:val="false"/>
          <w:color w:val="1E293B"/>
          <w:sz w:val="22"/>
          <w:szCs w:val="22"/>
        </w:rPr>
        <w:t xml:space="preserve">the AI drafts, an actual attorney approves</w:t>
      </w:r>
      <w:r>
        <w:rPr>
          <w:rFonts w:ascii="Calibri" w:cs="Calibri" w:eastAsia="Calibri" w:hAnsi="Calibri"/>
          <w:b w:val="false"/>
          <w:bCs w:val="false"/>
          <w:i w:val="false"/>
          <w:iCs w:val="false"/>
          <w:color w:val="1E293B"/>
          <w:sz w:val="22"/>
          <w:szCs w:val="22"/>
        </w:rPr>
        <w:t xml:space="preserve"> — the exact structure buyers want. Keep the entities clean: </w:t>
      </w:r>
      <w:r>
        <w:rPr>
          <w:rFonts w:ascii="Calibri" w:cs="Calibri" w:eastAsia="Calibri" w:hAnsi="Calibri"/>
          <w:b/>
          <w:bCs/>
          <w:i w:val="false"/>
          <w:iCs w:val="false"/>
          <w:color w:val="1E293B"/>
          <w:sz w:val="22"/>
          <w:szCs w:val="22"/>
        </w:rPr>
        <w:t xml:space="preserve">Bliss Tech LLC</w:t>
      </w:r>
      <w:r>
        <w:rPr>
          <w:rFonts w:ascii="Calibri" w:cs="Calibri" w:eastAsia="Calibri" w:hAnsi="Calibri"/>
          <w:b w:val="false"/>
          <w:bCs w:val="false"/>
          <w:i w:val="false"/>
          <w:iCs w:val="false"/>
          <w:color w:val="1E293B"/>
          <w:sz w:val="22"/>
          <w:szCs w:val="22"/>
        </w:rPr>
        <w:t xml:space="preserve"> builds and sells the software; </w:t>
      </w:r>
      <w:r>
        <w:rPr>
          <w:rFonts w:ascii="Calibri" w:cs="Calibri" w:eastAsia="Calibri" w:hAnsi="Calibri"/>
          <w:b/>
          <w:bCs/>
          <w:i w:val="false"/>
          <w:iCs w:val="false"/>
          <w:color w:val="1E293B"/>
          <w:sz w:val="22"/>
          <w:szCs w:val="22"/>
        </w:rPr>
        <w:t xml:space="preserve">Bliss Legal Studios PC</w:t>
      </w:r>
      <w:r>
        <w:rPr>
          <w:rFonts w:ascii="Calibri" w:cs="Calibri" w:eastAsia="Calibri" w:hAnsi="Calibri"/>
          <w:b w:val="false"/>
          <w:bCs w:val="false"/>
          <w:i w:val="false"/>
          <w:iCs w:val="false"/>
          <w:color w:val="1E293B"/>
          <w:sz w:val="22"/>
          <w:szCs w:val="22"/>
        </w:rPr>
        <w:t xml:space="preserve"> is the law practice; the app carries “not legal advice” disclaimers. That separation kills the unauthorized-practice question before it’s asked. One thing to get ahead of: when Mara takes this to the UMG GC, </w:t>
      </w:r>
      <w:r>
        <w:rPr>
          <w:rFonts w:ascii="Calibri" w:cs="Calibri" w:eastAsia="Calibri" w:hAnsi="Calibri"/>
          <w:b/>
          <w:bCs/>
          <w:i w:val="false"/>
          <w:iCs w:val="false"/>
          <w:color w:val="1E293B"/>
          <w:sz w:val="22"/>
          <w:szCs w:val="22"/>
        </w:rPr>
        <w:t xml:space="preserve">name the structure up front</w:t>
      </w:r>
      <w:r>
        <w:rPr>
          <w:rFonts w:ascii="Calibri" w:cs="Calibri" w:eastAsia="Calibri" w:hAnsi="Calibri"/>
          <w:b w:val="false"/>
          <w:bCs w:val="false"/>
          <w:i w:val="false"/>
          <w:iCs w:val="false"/>
          <w:color w:val="1E293B"/>
          <w:sz w:val="22"/>
          <w:szCs w:val="22"/>
        </w:rPr>
        <w:t xml:space="preserve"> — “this is a Bliss Tech product, separate from our practice” — so their compliance team reads our credentials as trust, not a conflict.</w:t>
      </w:r>
    </w:p>
    <w:p>
      <w:pPr>
        <w:spacing w:after="120" w:before="300"/>
      </w:pPr>
      <w:r>
        <w:rPr>
          <w:rFonts w:ascii="Calibri" w:cs="Calibri" w:eastAsia="Calibri" w:hAnsi="Calibri"/>
          <w:b/>
          <w:bCs/>
          <w:i w:val="false"/>
          <w:iCs w:val="false"/>
          <w:color w:val="0D3B6E"/>
          <w:sz w:val="28"/>
          <w:szCs w:val="28"/>
        </w:rPr>
        <w:t xml:space="preserve">On charging submitters vs. platforms</w:t>
      </w:r>
    </w:p>
    <w:p>
      <w:pPr>
        <w:spacing w:after="80" w:line="276"/>
        <w:jc w:val="left"/>
      </w:pPr>
      <w:r>
        <w:rPr>
          <w:rFonts w:ascii="Calibri" w:cs="Calibri" w:eastAsia="Calibri" w:hAnsi="Calibri"/>
          <w:b w:val="false"/>
          <w:bCs w:val="false"/>
          <w:i w:val="false"/>
          <w:iCs w:val="false"/>
          <w:color w:val="1E293B"/>
          <w:sz w:val="22"/>
          <w:szCs w:val="22"/>
        </w:rPr>
        <w:t xml:space="preserve">Don’t charge submitters for the platform-mandated flow. If a platform mandates Cleared.live and we then charge that producer $1,500, the producer resents the platform, the platform hears about it, and it stops mandating us — destroying the distribution moat. The model:</w:t>
      </w:r>
    </w:p>
    <w:p>
      <w:pPr>
        <w:pStyle w:val="ListParagraph"/>
        <w:numPr>
          <w:ilvl w:val="0"/>
          <w:numId w:val="2"/>
        </w:numPr>
        <w:spacing w:after="100" w:line="276"/>
      </w:pPr>
      <w:r>
        <w:rPr>
          <w:rFonts w:ascii="Calibri" w:cs="Calibri" w:eastAsia="Calibri" w:hAnsi="Calibri"/>
          <w:b/>
          <w:bCs/>
          <w:i w:val="false"/>
          <w:iCs w:val="false"/>
          <w:color w:val="0D3B6E"/>
          <w:sz w:val="22"/>
          <w:szCs w:val="22"/>
        </w:rPr>
        <w:t xml:space="preserve">Platforms pay.</w:t>
      </w:r>
      <w:r>
        <w:rPr>
          <w:rFonts w:ascii="Calibri" w:cs="Calibri" w:eastAsia="Calibri" w:hAnsi="Calibri"/>
          <w:b w:val="false"/>
          <w:bCs w:val="false"/>
          <w:i w:val="false"/>
          <w:iCs w:val="false"/>
          <w:color w:val="1E293B"/>
          <w:sz w:val="22"/>
          <w:szCs w:val="22"/>
        </w:rPr>
        <w:t xml:space="preserve"> Large annual enterprise contract — they’re automating their BA team’s workflow, reducing legal exposure, and getting a compliance paper trail.</w:t>
      </w:r>
    </w:p>
    <w:p>
      <w:pPr>
        <w:pStyle w:val="ListParagraph"/>
        <w:numPr>
          <w:ilvl w:val="0"/>
          <w:numId w:val="2"/>
        </w:numPr>
        <w:spacing w:after="100" w:line="276"/>
      </w:pPr>
      <w:r>
        <w:rPr>
          <w:rFonts w:ascii="Calibri" w:cs="Calibri" w:eastAsia="Calibri" w:hAnsi="Calibri"/>
          <w:b/>
          <w:bCs/>
          <w:i w:val="false"/>
          <w:iCs w:val="false"/>
          <w:color w:val="0D3B6E"/>
          <w:sz w:val="22"/>
          <w:szCs w:val="22"/>
        </w:rPr>
        <w:t xml:space="preserve">Submitters pay a small processing fee</w:t>
      </w:r>
      <w:r>
        <w:rPr>
          <w:rFonts w:ascii="Calibri" w:cs="Calibri" w:eastAsia="Calibri" w:hAnsi="Calibri"/>
          <w:b w:val="false"/>
          <w:bCs w:val="false"/>
          <w:i w:val="false"/>
          <w:iCs w:val="false"/>
          <w:color w:val="1E293B"/>
          <w:sz w:val="22"/>
          <w:szCs w:val="22"/>
        </w:rPr>
        <w:t xml:space="preserve"> — $150–$300 per submission, framed as an admin / AI-drafting fee, not a clearance fee. Defensible because the AI is doing real work for them. Keep it low enough that it doesn’t create friction.</w:t>
      </w:r>
    </w:p>
    <w:p>
      <w:pPr>
        <w:pStyle w:val="ListParagraph"/>
        <w:numPr>
          <w:ilvl w:val="0"/>
          <w:numId w:val="2"/>
        </w:numPr>
        <w:spacing w:after="100" w:line="276"/>
      </w:pPr>
      <w:r>
        <w:rPr>
          <w:rFonts w:ascii="Calibri" w:cs="Calibri" w:eastAsia="Calibri" w:hAnsi="Calibri"/>
          <w:b/>
          <w:bCs/>
          <w:i w:val="false"/>
          <w:iCs w:val="false"/>
          <w:color w:val="0D3B6E"/>
          <w:sz w:val="22"/>
          <w:szCs w:val="22"/>
        </w:rPr>
        <w:t xml:space="preserve">Independent submitters</w:t>
      </w:r>
      <w:r>
        <w:rPr>
          <w:rFonts w:ascii="Calibri" w:cs="Calibri" w:eastAsia="Calibri" w:hAnsi="Calibri"/>
          <w:b w:val="false"/>
          <w:bCs w:val="false"/>
          <w:i w:val="false"/>
          <w:iCs w:val="false"/>
          <w:color w:val="1E293B"/>
          <w:sz w:val="22"/>
          <w:szCs w:val="22"/>
        </w:rPr>
        <w:t xml:space="preserve"> (not mandated by any platform) pay the full $500–$2,000 per-project rate. This is near-term cash while enterprise deals close — the app already bills it today.</w:t>
      </w:r>
    </w:p>
    <w:p>
      <w:pPr>
        <w:spacing w:after="120" w:before="300"/>
      </w:pPr>
      <w:r>
        <w:rPr>
          <w:rFonts w:ascii="Calibri" w:cs="Calibri" w:eastAsia="Calibri" w:hAnsi="Calibri"/>
          <w:b/>
          <w:bCs/>
          <w:i w:val="false"/>
          <w:iCs w:val="false"/>
          <w:color w:val="0D3B6E"/>
          <w:sz w:val="28"/>
          <w:szCs w:val="28"/>
        </w:rPr>
        <w:t xml:space="preserve">On the data</w:t>
      </w:r>
    </w:p>
    <w:p>
      <w:pPr>
        <w:spacing w:after="140" w:line="276"/>
        <w:jc w:val="left"/>
      </w:pPr>
      <w:r>
        <w:rPr>
          <w:rFonts w:ascii="Calibri" w:cs="Calibri" w:eastAsia="Calibri" w:hAnsi="Calibri"/>
          <w:b w:val="false"/>
          <w:bCs w:val="false"/>
          <w:i w:val="false"/>
          <w:iCs w:val="false"/>
          <w:color w:val="1E293B"/>
          <w:sz w:val="22"/>
          <w:szCs w:val="22"/>
        </w:rPr>
        <w:t xml:space="preserve">Don’t hold it hostage — that’s adversarial, and it becomes a red flag in every negotiation. </w:t>
      </w:r>
      <w:r>
        <w:rPr>
          <w:rFonts w:ascii="Calibri" w:cs="Calibri" w:eastAsia="Calibri" w:hAnsi="Calibri"/>
          <w:b/>
          <w:bCs/>
          <w:i w:val="false"/>
          <w:iCs w:val="false"/>
          <w:color w:val="1E293B"/>
          <w:sz w:val="22"/>
          <w:szCs w:val="22"/>
        </w:rPr>
        <w:t xml:space="preserve">Own the database, but give platforms full access to their own data</w:t>
      </w:r>
      <w:r>
        <w:rPr>
          <w:rFonts w:ascii="Calibri" w:cs="Calibri" w:eastAsia="Calibri" w:hAnsi="Calibri"/>
          <w:b w:val="false"/>
          <w:bCs w:val="false"/>
          <w:i w:val="false"/>
          <w:iCs w:val="false"/>
          <w:color w:val="1E293B"/>
          <w:sz w:val="22"/>
          <w:szCs w:val="22"/>
        </w:rPr>
        <w:t xml:space="preserve"> (exports, API, dashboards) as part of the contract. The lock-in comes naturally: after 18 months of uploaded documents, signed agreements, and chain-of-title records, the platform’s entire clearance history lives in our system — leaving means losing all of it. Real lock-in without being adversarial.</w:t>
      </w:r>
    </w:p>
    <w:p>
      <w:pPr>
        <w:spacing w:after="140" w:line="276"/>
        <w:jc w:val="left"/>
      </w:pPr>
      <w:r>
        <w:rPr>
          <w:rFonts w:ascii="Calibri" w:cs="Calibri" w:eastAsia="Calibri" w:hAnsi="Calibri"/>
          <w:b w:val="false"/>
          <w:bCs w:val="false"/>
          <w:i w:val="false"/>
          <w:iCs w:val="false"/>
          <w:color w:val="1E293B"/>
          <w:sz w:val="22"/>
          <w:szCs w:val="22"/>
        </w:rPr>
        <w:t xml:space="preserve">Three-year contracts (minimum) with data-portability that’s technically available but practically painful — the standard SaaS playbook. By </w:t>
      </w:r>
      <w:r>
        <w:rPr>
          <w:rFonts w:ascii="Calibri" w:cs="Calibri" w:eastAsia="Calibri" w:hAnsi="Calibri"/>
          <w:b/>
          <w:bCs/>
          <w:i w:val="false"/>
          <w:iCs w:val="false"/>
          <w:color w:val="1E293B"/>
          <w:sz w:val="22"/>
          <w:szCs w:val="22"/>
        </w:rPr>
        <w:t xml:space="preserve">year 2–3</w:t>
      </w:r>
      <w:r>
        <w:rPr>
          <w:rFonts w:ascii="Calibri" w:cs="Calibri" w:eastAsia="Calibri" w:hAnsi="Calibri"/>
          <w:b w:val="false"/>
          <w:bCs w:val="false"/>
          <w:i w:val="false"/>
          <w:iCs w:val="false"/>
          <w:color w:val="1E293B"/>
          <w:sz w:val="22"/>
          <w:szCs w:val="22"/>
        </w:rPr>
        <w:t xml:space="preserve"> the data itself is the asset: the most complete database of rights-holder relationships, clearance timelines, and deal terms in existence. Cross-platform analytics (“live-music clearances close in 47 days on average; documentaries take 94”) becomes a product we can sell. But that’s year 3 — don’t lead with it now.</w:t>
      </w:r>
    </w:p>
    <w:p>
      <w:pPr>
        <w:spacing w:after="120" w:before="300"/>
      </w:pPr>
      <w:r>
        <w:rPr>
          <w:rFonts w:ascii="Calibri" w:cs="Calibri" w:eastAsia="Calibri" w:hAnsi="Calibri"/>
          <w:b/>
          <w:bCs/>
          <w:i w:val="false"/>
          <w:iCs w:val="false"/>
          <w:color w:val="0D3B6E"/>
          <w:sz w:val="28"/>
          <w:szCs w:val="28"/>
        </w:rPr>
        <w:t xml:space="preserve">How to make money ASAP — in order</w:t>
      </w:r>
    </w:p>
    <w:p>
      <w:pPr>
        <w:spacing w:after="140" w:line="276"/>
        <w:jc w:val="left"/>
      </w:pPr>
      <w:r>
        <w:rPr>
          <w:rFonts w:ascii="Calibri" w:cs="Calibri" w:eastAsia="Calibri" w:hAnsi="Calibri"/>
          <w:b/>
          <w:bCs/>
          <w:i w:val="false"/>
          <w:iCs w:val="false"/>
          <w:color w:val="0D3B6E"/>
          <w:sz w:val="22"/>
          <w:szCs w:val="22"/>
        </w:rPr>
        <w:t xml:space="preserve">Now: turn on per-project revenue.</w:t>
      </w:r>
      <w:r>
        <w:rPr>
          <w:rFonts w:ascii="Calibri" w:cs="Calibri" w:eastAsia="Calibri" w:hAnsi="Calibri"/>
          <w:b w:val="false"/>
          <w:bCs w:val="false"/>
          <w:i w:val="false"/>
          <w:iCs w:val="false"/>
          <w:color w:val="1E293B"/>
          <w:sz w:val="22"/>
          <w:szCs w:val="22"/>
        </w:rPr>
        <w:t xml:space="preserve"> The app bills today; we don’t need a platform deal to start. Any producer, manager, or production company clearing content can submit and pay $500–$2,000 — and </w:t>
      </w:r>
      <w:r>
        <w:rPr>
          <w:rFonts w:ascii="Calibri" w:cs="Calibri" w:eastAsia="Calibri" w:hAnsi="Calibri"/>
          <w:b w:val="false"/>
          <w:bCs w:val="false"/>
          <w:i/>
          <w:iCs/>
          <w:color w:val="1E293B"/>
          <w:sz w:val="22"/>
          <w:szCs w:val="22"/>
        </w:rPr>
        <w:t xml:space="preserve">we’re the ideal BA team for these early ones</w:t>
      </w:r>
      <w:r>
        <w:rPr>
          <w:rFonts w:ascii="Calibri" w:cs="Calibri" w:eastAsia="Calibri" w:hAnsi="Calibri"/>
          <w:b w:val="false"/>
          <w:bCs w:val="false"/>
          <w:i w:val="false"/>
          <w:iCs w:val="false"/>
          <w:color w:val="1E293B"/>
          <w:sz w:val="22"/>
          <w:szCs w:val="22"/>
        </w:rPr>
        <w:t xml:space="preserve">: we’re the entertainment lawyers, we clear it ourselves using the AI drafts. A service business with SaaS tooling, which is fine for now. Email 10 people in our networks fighting a clearance headache this month.</w:t>
      </w:r>
    </w:p>
    <w:p>
      <w:pPr>
        <w:spacing w:after="140" w:line="276"/>
        <w:jc w:val="left"/>
      </w:pPr>
      <w:r>
        <w:rPr>
          <w:rFonts w:ascii="Calibri" w:cs="Calibri" w:eastAsia="Calibri" w:hAnsi="Calibri"/>
          <w:b/>
          <w:bCs/>
          <w:i w:val="false"/>
          <w:iCs w:val="false"/>
          <w:color w:val="0D3B6E"/>
          <w:sz w:val="22"/>
          <w:szCs w:val="22"/>
        </w:rPr>
        <w:t xml:space="preserve">First enterprise target — UMG (Mara leads).</w:t>
      </w:r>
      <w:r>
        <w:rPr>
          <w:rFonts w:ascii="Calibri" w:cs="Calibri" w:eastAsia="Calibri" w:hAnsi="Calibri"/>
          <w:b w:val="false"/>
          <w:bCs w:val="false"/>
          <w:i w:val="false"/>
          <w:iCs w:val="false"/>
          <w:color w:val="1E293B"/>
          <w:sz w:val="22"/>
          <w:szCs w:val="22"/>
        </w:rPr>
        <w:t xml:space="preserve"> The warmest door we have: Mara knows the GC, Brian ran B&amp;LA there, and </w:t>
      </w:r>
      <w:r>
        <w:rPr>
          <w:rFonts w:ascii="Calibri" w:cs="Calibri" w:eastAsia="Calibri" w:hAnsi="Calibri"/>
          <w:b/>
          <w:bCs/>
          <w:i w:val="false"/>
          <w:iCs w:val="false"/>
          <w:color w:val="1E293B"/>
          <w:sz w:val="22"/>
          <w:szCs w:val="22"/>
        </w:rPr>
        <w:t xml:space="preserve">label-waiver mode is live</w:t>
      </w:r>
      <w:r>
        <w:rPr>
          <w:rFonts w:ascii="Calibri" w:cs="Calibri" w:eastAsia="Calibri" w:hAnsi="Calibri"/>
          <w:b w:val="false"/>
          <w:bCs w:val="false"/>
          <w:i w:val="false"/>
          <w:iCs w:val="false"/>
          <w:color w:val="1E293B"/>
          <w:sz w:val="22"/>
          <w:szCs w:val="22"/>
        </w:rPr>
        <w:t xml:space="preserve">. It’s a relationship conversation, not a cold sell: “We built the rail for label waivers — let us run your next handful of requests through it so you can see it.” Free pilot, no contract. When their team sees inbound requests arrive verified, with an AI-drafted conditional waiver instead of an inconsistent email pile, the contract talks itself into existence. A first label deal — on the order of </w:t>
      </w:r>
      <w:r>
        <w:rPr>
          <w:rFonts w:ascii="Calibri" w:cs="Calibri" w:eastAsia="Calibri" w:hAnsi="Calibri"/>
          <w:b/>
          <w:bCs/>
          <w:i w:val="false"/>
          <w:iCs w:val="false"/>
          <w:color w:val="1E293B"/>
          <w:sz w:val="22"/>
          <w:szCs w:val="22"/>
        </w:rPr>
        <w:t xml:space="preserve">$100K/year to start</w:t>
      </w:r>
      <w:r>
        <w:rPr>
          <w:rFonts w:ascii="Calibri" w:cs="Calibri" w:eastAsia="Calibri" w:hAnsi="Calibri"/>
          <w:b w:val="false"/>
          <w:bCs w:val="false"/>
          <w:i w:val="false"/>
          <w:iCs w:val="false"/>
          <w:color w:val="1E293B"/>
          <w:sz w:val="22"/>
          <w:szCs w:val="22"/>
        </w:rPr>
        <w:t xml:space="preserve"> — is our home-field proof point.</w:t>
      </w:r>
    </w:p>
    <w:p>
      <w:pPr>
        <w:spacing w:after="140" w:line="276"/>
        <w:jc w:val="left"/>
      </w:pPr>
      <w:r>
        <w:rPr>
          <w:rFonts w:ascii="Calibri" w:cs="Calibri" w:eastAsia="Calibri" w:hAnsi="Calibri"/>
          <w:b/>
          <w:bCs/>
          <w:i w:val="false"/>
          <w:iCs w:val="false"/>
          <w:color w:val="0D3B6E"/>
          <w:sz w:val="22"/>
          <w:szCs w:val="22"/>
        </w:rPr>
        <w:t xml:space="preserve">Second — Amazon (Brian leads).</w:t>
      </w:r>
      <w:r>
        <w:rPr>
          <w:rFonts w:ascii="Calibri" w:cs="Calibri" w:eastAsia="Calibri" w:hAnsi="Calibri"/>
          <w:b w:val="false"/>
          <w:bCs w:val="false"/>
          <w:i w:val="false"/>
          <w:iCs w:val="false"/>
          <w:color w:val="1E293B"/>
          <w:sz w:val="22"/>
          <w:szCs w:val="22"/>
        </w:rPr>
        <w:t xml:space="preserve"> Call Patrick — a call, not an email. One sentence: “I built the clearance infrastructure for Amazon Live and I want to run your next 10 submissions through it for free so you can see it work.” Free pilot, no contract, just get him using it. When his BA team sees AI-drafted agreements and a document-upload trail instead of a pile of emails, the contract conversation happens on its own. Pilot → an initial annual contract </w:t>
      </w:r>
      <w:r>
        <w:rPr>
          <w:rFonts w:ascii="Calibri" w:cs="Calibri" w:eastAsia="Calibri" w:hAnsi="Calibri"/>
          <w:b/>
          <w:bCs/>
          <w:i w:val="false"/>
          <w:iCs w:val="false"/>
          <w:color w:val="1E293B"/>
          <w:sz w:val="22"/>
          <w:szCs w:val="22"/>
        </w:rPr>
        <w:t xml:space="preserve">around $100K</w:t>
      </w:r>
      <w:r>
        <w:rPr>
          <w:rFonts w:ascii="Calibri" w:cs="Calibri" w:eastAsia="Calibri" w:hAnsi="Calibri"/>
          <w:b w:val="false"/>
          <w:bCs w:val="false"/>
          <w:i w:val="false"/>
          <w:iCs w:val="false"/>
          <w:color w:val="1E293B"/>
          <w:sz w:val="22"/>
          <w:szCs w:val="22"/>
        </w:rPr>
        <w:t xml:space="preserve">, growing </w:t>
      </w:r>
      <w:r>
        <w:rPr>
          <w:rFonts w:ascii="Calibri" w:cs="Calibri" w:eastAsia="Calibri" w:hAnsi="Calibri"/>
          <w:b/>
          <w:bCs/>
          <w:i w:val="false"/>
          <w:iCs w:val="false"/>
          <w:color w:val="1E293B"/>
          <w:sz w:val="22"/>
          <w:szCs w:val="22"/>
        </w:rPr>
        <w:t xml:space="preserve">into the millions over a multi-year contract</w:t>
      </w:r>
      <w:r>
        <w:rPr>
          <w:rFonts w:ascii="Calibri" w:cs="Calibri" w:eastAsia="Calibri" w:hAnsi="Calibri"/>
          <w:b w:val="false"/>
          <w:bCs w:val="false"/>
          <w:i w:val="false"/>
          <w:iCs w:val="false"/>
          <w:color w:val="1E293B"/>
          <w:sz w:val="22"/>
          <w:szCs w:val="22"/>
        </w:rPr>
        <w:t xml:space="preserve"> as it becomes infrastructure.</w:t>
      </w:r>
    </w:p>
    <w:p>
      <w:pPr>
        <w:spacing w:after="140" w:line="276"/>
        <w:jc w:val="left"/>
      </w:pPr>
      <w:r>
        <w:rPr>
          <w:rFonts w:ascii="Calibri" w:cs="Calibri" w:eastAsia="Calibri" w:hAnsi="Calibri"/>
          <w:b/>
          <w:bCs/>
          <w:i w:val="false"/>
          <w:iCs w:val="false"/>
          <w:color w:val="0D3B6E"/>
          <w:sz w:val="22"/>
          <w:szCs w:val="22"/>
        </w:rPr>
        <w:t xml:space="preserve">Then — widen.</w:t>
      </w:r>
      <w:r>
        <w:rPr>
          <w:rFonts w:ascii="Calibri" w:cs="Calibri" w:eastAsia="Calibri" w:hAnsi="Calibri"/>
          <w:b w:val="false"/>
          <w:bCs w:val="false"/>
          <w:i w:val="false"/>
          <w:iCs w:val="false"/>
          <w:color w:val="1E293B"/>
          <w:sz w:val="22"/>
          <w:szCs w:val="22"/>
        </w:rPr>
        <w:t xml:space="preserve"> More platforms (YouTube is the most tractable after Amazon — massive live volume, lean legal team; Netflix and HBO move slower; Hulu is mid-size and deals-hungry) and more labels (Sony, Warner) on the same rail.</w:t>
      </w:r>
    </w:p>
    <w:p>
      <w:pPr>
        <w:spacing w:after="120" w:before="300"/>
      </w:pPr>
      <w:r>
        <w:rPr>
          <w:rFonts w:ascii="Calibri" w:cs="Calibri" w:eastAsia="Calibri" w:hAnsi="Calibri"/>
          <w:b/>
          <w:bCs/>
          <w:i w:val="false"/>
          <w:iCs w:val="false"/>
          <w:color w:val="0D3B6E"/>
          <w:sz w:val="28"/>
          <w:szCs w:val="28"/>
        </w:rPr>
        <w:t xml:space="preserve">On platform integration</w:t>
      </w:r>
    </w:p>
    <w:p>
      <w:pPr>
        <w:spacing w:after="140" w:line="276"/>
        <w:jc w:val="left"/>
      </w:pPr>
      <w:r>
        <w:rPr>
          <w:rFonts w:ascii="Calibri" w:cs="Calibri" w:eastAsia="Calibri" w:hAnsi="Calibri"/>
          <w:b w:val="false"/>
          <w:bCs w:val="false"/>
          <w:i w:val="false"/>
          <w:iCs w:val="false"/>
          <w:color w:val="1E293B"/>
          <w:sz w:val="22"/>
          <w:szCs w:val="22"/>
        </w:rPr>
        <w:t xml:space="preserve">Offer it as an enterprise add-on: “We’ll wire clearance status directly into your content-management and release workflow.” A services engagement on top of the SaaS fee — </w:t>
      </w:r>
      <w:r>
        <w:rPr>
          <w:rFonts w:ascii="Calibri" w:cs="Calibri" w:eastAsia="Calibri" w:hAnsi="Calibri"/>
          <w:b/>
          <w:bCs/>
          <w:i w:val="false"/>
          <w:iCs w:val="false"/>
          <w:color w:val="1E293B"/>
          <w:sz w:val="22"/>
          <w:szCs w:val="22"/>
        </w:rPr>
        <w:t xml:space="preserve">$50K–$150K integration fee</w:t>
      </w:r>
      <w:r>
        <w:rPr>
          <w:rFonts w:ascii="Calibri" w:cs="Calibri" w:eastAsia="Calibri" w:hAnsi="Calibri"/>
          <w:b w:val="false"/>
          <w:bCs w:val="false"/>
          <w:i w:val="false"/>
          <w:iCs w:val="false"/>
          <w:color w:val="1E293B"/>
          <w:sz w:val="22"/>
          <w:szCs w:val="22"/>
        </w:rPr>
        <w:t xml:space="preserve">, then the annual contract on top. It also deepens lock-in: once Cleared.live is wired into their CMS, ripping it out is an engineering project, not a vendor switch.</w:t>
      </w:r>
    </w:p>
    <w:p>
      <w:pPr>
        <w:spacing w:after="120" w:before="300"/>
      </w:pPr>
      <w:r>
        <w:rPr>
          <w:rFonts w:ascii="Calibri" w:cs="Calibri" w:eastAsia="Calibri" w:hAnsi="Calibri"/>
          <w:b/>
          <w:bCs/>
          <w:i w:val="false"/>
          <w:iCs w:val="false"/>
          <w:color w:val="0D3B6E"/>
          <w:sz w:val="28"/>
          <w:szCs w:val="28"/>
        </w:rPr>
        <w:t xml:space="preserve">The one thing that matters most</w:t>
      </w:r>
    </w:p>
    <w:p>
      <w:pPr>
        <w:spacing w:after="0" w:line="276"/>
        <w:jc w:val="left"/>
      </w:pPr>
      <w:r>
        <w:rPr>
          <w:rFonts w:ascii="Calibri" w:cs="Calibri" w:eastAsia="Calibri" w:hAnsi="Calibri"/>
          <w:b/>
          <w:bCs/>
          <w:i w:val="false"/>
          <w:iCs w:val="false"/>
          <w:color w:val="0D3B6E"/>
          <w:sz w:val="22"/>
          <w:szCs w:val="22"/>
        </w:rPr>
        <w:t xml:space="preserve">Two warm doors, one of us on each — this week.</w:t>
      </w:r>
      <w:r>
        <w:rPr>
          <w:rFonts w:ascii="Calibri" w:cs="Calibri" w:eastAsia="Calibri" w:hAnsi="Calibri"/>
          <w:b w:val="false"/>
          <w:bCs w:val="false"/>
          <w:i w:val="false"/>
          <w:iCs w:val="false"/>
          <w:color w:val="1E293B"/>
          <w:sz w:val="22"/>
          <w:szCs w:val="22"/>
        </w:rPr>
        <w:t xml:space="preserve"> Mara to the UMG GC (our warmest lead and home turf); Brian to Patrick at Amazon. Everything else — pricing, data strategy, contracts — is downstream of getting </w:t>
      </w:r>
      <w:r>
        <w:rPr>
          <w:rFonts w:ascii="Calibri" w:cs="Calibri" w:eastAsia="Calibri" w:hAnsi="Calibri"/>
          <w:b/>
          <w:bCs/>
          <w:i w:val="false"/>
          <w:iCs w:val="false"/>
          <w:color w:val="1E293B"/>
          <w:sz w:val="22"/>
          <w:szCs w:val="22"/>
        </w:rPr>
        <w:t xml:space="preserve">one real pilot live</w:t>
      </w:r>
      <w:r>
        <w:rPr>
          <w:rFonts w:ascii="Calibri" w:cs="Calibri" w:eastAsia="Calibri" w:hAnsi="Calibri"/>
          <w:b w:val="false"/>
          <w:bCs w:val="false"/>
          <w:i w:val="false"/>
          <w:iCs w:val="false"/>
          <w:color w:val="1E293B"/>
          <w:sz w:val="22"/>
          <w:szCs w:val="22"/>
        </w:rPr>
        <w:t xml:space="preserve">. Show the live URL. Let them put a real project through it. The rest follows from that.</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F2A9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2026-06-23T01:54:05.497Z</dcterms:created>
  <dcterms:modified xsi:type="dcterms:W3CDTF">2026-06-23T01:54:05.503Z</dcterms:modified>
</cp:coreProperties>
</file>

<file path=docProps/custom.xml><?xml version="1.0" encoding="utf-8"?>
<Properties xmlns="http://schemas.openxmlformats.org/officeDocument/2006/custom-properties" xmlns:vt="http://schemas.openxmlformats.org/officeDocument/2006/docPropsVTypes"/>
</file>