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color w:val="F2A900"/>
          <w:sz w:val="19"/>
          <w:szCs w:val="19"/>
        </w:rPr>
        <w:t xml:space="preserve">CLEARED.LIVE</w:t>
      </w:r>
    </w:p>
    <w:p>
      <w:pPr>
        <w:spacing w:after="30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44"/>
          <w:szCs w:val="44"/>
        </w:rPr>
        <w:t xml:space="preserve">UMG Demo — Label Waiver Flow</w:t>
      </w:r>
    </w:p>
    <w:p>
      <w:pPr>
        <w:pBdr>
          <w:bottom w:val="single" w:color="F2A900" w:sz="10" w:space="8"/>
        </w:pBd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7085"/>
          <w:sz w:val="20"/>
          <w:szCs w:val="20"/>
        </w:rPr>
        <w:t xml:space="preserve">Mara driving the GC · ~15 min + Q&amp;A · Setup: Brian</w:t>
      </w:r>
    </w:p>
    <w:p>
      <w:pPr>
        <w:spacing w:after="130" w:line="272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2"/>
          <w:szCs w:val="22"/>
        </w:rPr>
        <w:t xml:space="preserve">Goal: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Mara walks the UMG General Counsel through Cleared.live in </w:t>
      </w: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Label · Issuer mode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on the live site — how a major label reviews a producer’s clearances and </w:t>
      </w: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issues a conditional label waiver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for a filmed live performance, in one rail, with AI doing the drafting.</w:t>
      </w:r>
    </w:p>
    <w:p>
      <w:pPr>
        <w:spacing w:after="130" w:line="272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2"/>
          <w:szCs w:val="22"/>
        </w:rPr>
        <w:t xml:space="preserve">Product: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the deployed unified rail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D3B6E"/>
          <w:sz w:val="22"/>
          <w:szCs w:val="22"/>
        </w:rPr>
        <w:t xml:space="preserve">https://cleared-live-platform.onrender.com</w:t>
      </w:r>
    </w:p>
    <w:p>
      <w:pPr>
        <w:spacing w:after="11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8"/>
          <w:szCs w:val="28"/>
        </w:rPr>
        <w:t xml:space="preserve">Frame it right (read first — from the council)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2"/>
          <w:szCs w:val="22"/>
        </w:rPr>
        <w:t xml:space="preserve">Mara leads.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The warm relationship (Mara ↔ GC) is the asset. Open as colleagues solving a real UMG pain, not as a cold vendor.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2"/>
          <w:szCs w:val="22"/>
        </w:rPr>
        <w:t xml:space="preserve">Conflicts, pre-cleared in one breath.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Say it before the GC’s team wonders: </w:t>
      </w:r>
      <w:r>
        <w:rPr>
          <w:rFonts w:ascii="Calibri" w:cs="Calibri" w:eastAsia="Calibri" w:hAnsi="Calibri"/>
          <w:b w:val="false"/>
          <w:bCs w:val="false"/>
          <w:i/>
          <w:iCs/>
          <w:color w:val="1E293B"/>
          <w:sz w:val="22"/>
          <w:szCs w:val="22"/>
        </w:rPr>
        <w:t xml:space="preserve">“The software is built and sold by Bliss Tech LLC — a separate company from our law practice. Brian and I are entertainment attorneys, which is why the work product is sound, but you’re evaluating a tech product, not retaining counsel.”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That turns the founder credentials into trust instead of a flag.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2"/>
          <w:szCs w:val="22"/>
        </w:rPr>
        <w:t xml:space="preserve">Demo what exists; name what’s next.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Be precise about live-vs-roadmap (section at the end). Don’t oversell.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2"/>
          <w:szCs w:val="22"/>
        </w:rPr>
        <w:t xml:space="preserve">One project, pre-baked.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No live AI spinners in front of the GC. Brian generates the drafts the day before.</w:t>
      </w:r>
    </w:p>
    <w:p>
      <w:pPr>
        <w:spacing w:after="11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8"/>
          <w:szCs w:val="28"/>
        </w:rPr>
        <w:t xml:space="preserve">Pre-flight (Brian, before the call — ~15 min)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Confirm a UMG tenant exists in Issuer mode.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In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D3B6E"/>
          <w:sz w:val="22"/>
          <w:szCs w:val="22"/>
        </w:rPr>
        <w:t xml:space="preserve">/admin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→ Platforms, add or edit a UMG label tenant (slug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D3B6E"/>
          <w:sz w:val="22"/>
          <w:szCs w:val="22"/>
        </w:rPr>
        <w:t xml:space="preserve">umg-label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, Tenant Mode = </w:t>
      </w: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Label · Issuer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). If a UMG tenant already exists in Intake mode, flip the toggle — that’s the thing we just shipped that makes one rail serve both labels and platforms.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Create a UMG BA login.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Render shell →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D3B6E"/>
          <w:sz w:val="22"/>
          <w:szCs w:val="22"/>
        </w:rPr>
        <w:t xml:space="preserve">flask create-ba-user umg-label umg_ba &lt;password&gt;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. Confirm sign-in at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D3B6E"/>
          <w:sz w:val="22"/>
          <w:szCs w:val="22"/>
        </w:rPr>
        <w:t xml:space="preserve">/platform/login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Pre-bake the demo project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so all drafts exist (no spinner live): from the UMG BA dashboard send an </w:t>
      </w: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Invite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to your own email, open the link, and submit a Live Music project (e.g. “DEMO — [UMG Artist] Live at [Venue]”). Because the tenant is in Issuer mode, the rail auto-builds the review + waiver package and AI-drafts the Conditional Label Waiver. Refresh after ~30s and confirm the waiver draft is present. Optionally mark a couple of items complete so it looks mid-flight.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Open two tabs: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(A) UMG BA dashboard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D3B6E"/>
          <w:sz w:val="22"/>
          <w:szCs w:val="22"/>
        </w:rPr>
        <w:t xml:space="preserve">/platform/dashboard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; (B) the project workspace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D3B6E"/>
          <w:sz w:val="22"/>
          <w:szCs w:val="22"/>
        </w:rPr>
        <w:t xml:space="preserve">/track/&lt;token&gt;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Keep the producer-side runbook handy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(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D3B6E"/>
          <w:sz w:val="22"/>
          <w:szCs w:val="22"/>
        </w:rPr>
        <w:t xml:space="preserve">DEMO_WALKTHROUGH.md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) in case the GC asks “what does the producer see?”</w:t>
      </w:r>
    </w:p>
    <w:p>
      <w:pPr>
        <w:spacing w:after="11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8"/>
          <w:szCs w:val="28"/>
        </w:rPr>
        <w:t xml:space="preserve">The script (Mara driving) · ~15 min</w:t>
      </w:r>
    </w:p>
    <w:p>
      <w:pPr>
        <w:spacing w:after="6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5"/>
          <w:szCs w:val="25"/>
        </w:rPr>
        <w:t xml:space="preserve">Act 1 — The pain UMG already feels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7085"/>
          <w:sz w:val="20"/>
          <w:szCs w:val="20"/>
        </w:rPr>
        <w:t xml:space="preserve">   · 1 min</w:t>
      </w:r>
    </w:p>
    <w:p>
      <w:pPr>
        <w:spacing w:after="130" w:line="272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Every time a third party films a UMG artist’s live performance — a promoter, a streamer, a doc crew — UMG has to decide whether to </w:t>
      </w: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waive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, and on what conditions. Today that’s manual: emails, Word docs, chasing whether the producer actually cleared the promoter, publishing, performers, venue.</w:t>
      </w:r>
    </w:p>
    <w:p>
      <w:pPr>
        <w:spacing w:after="130" w:line="272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B07A00"/>
          <w:sz w:val="22"/>
          <w:szCs w:val="22"/>
        </w:rPr>
        <w:t xml:space="preserve">Talking point: </w:t>
      </w:r>
      <w:r>
        <w:rPr>
          <w:rFonts w:ascii="Calibri" w:cs="Calibri" w:eastAsia="Calibri" w:hAnsi="Calibri"/>
          <w:b w:val="false"/>
          <w:bCs w:val="false"/>
          <w:i/>
          <w:iCs/>
          <w:color w:val="1E293B"/>
          <w:sz w:val="22"/>
          <w:szCs w:val="22"/>
        </w:rPr>
        <w:t xml:space="preserve">“You’re the gate. Nothing ships without your waiver — and right now that gate runs on email.”</w:t>
      </w:r>
    </w:p>
    <w:p>
      <w:pPr>
        <w:spacing w:after="6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5"/>
          <w:szCs w:val="25"/>
        </w:rPr>
        <w:t xml:space="preserve">Act 2 — UMG on the rail (Tab A)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7085"/>
          <w:sz w:val="20"/>
          <w:szCs w:val="20"/>
        </w:rPr>
        <w:t xml:space="preserve">   · 2 min</w:t>
      </w:r>
    </w:p>
    <w:p>
      <w:pPr>
        <w:spacing w:after="130" w:line="272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Show the </w:t>
      </w: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UMG portal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(issuer mode). One dashboard, every incoming request to use a UMG live performance.</w:t>
      </w:r>
    </w:p>
    <w:p>
      <w:pPr>
        <w:spacing w:after="130" w:line="272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B07A00"/>
          <w:sz w:val="22"/>
          <w:szCs w:val="22"/>
        </w:rPr>
        <w:t xml:space="preserve">Talking point: </w:t>
      </w:r>
      <w:r>
        <w:rPr>
          <w:rFonts w:ascii="Calibri" w:cs="Calibri" w:eastAsia="Calibri" w:hAnsi="Calibri"/>
          <w:b w:val="false"/>
          <w:bCs w:val="false"/>
          <w:i/>
          <w:iCs/>
          <w:color w:val="1E293B"/>
          <w:sz w:val="22"/>
          <w:szCs w:val="22"/>
        </w:rPr>
        <w:t xml:space="preserve">“This is your system of record — every producer’s request to use UMG content, in one place, instead of scattered inboxes.”</w:t>
      </w:r>
    </w:p>
    <w:p>
      <w:pPr>
        <w:spacing w:after="6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5"/>
          <w:szCs w:val="25"/>
        </w:rPr>
        <w:t xml:space="preserve">Act 3 — The review queue (Tab B)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7085"/>
          <w:sz w:val="20"/>
          <w:szCs w:val="20"/>
        </w:rPr>
        <w:t xml:space="preserve">   · 4 min</w:t>
      </w:r>
    </w:p>
    <w:p>
      <w:pPr>
        <w:spacing w:after="70" w:line="272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Open the project. Point out the </w:t>
      </w: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Verify &amp; Review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checklist the rail builds automatically for a label: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Promoter Consent — Verify &amp; Review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Publishing Clearance — Verify &amp; Review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Master Recording License — Verify &amp; Review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Performer Releases — Verify &amp; Review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Venue Filming License — Verify &amp; Review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Crowd / Audience Release — Verify &amp; Review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E&amp;O Insurance — Verify &amp; Review</w:t>
      </w:r>
    </w:p>
    <w:p>
      <w:pPr>
        <w:spacing w:after="130" w:line="272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B07A00"/>
          <w:sz w:val="22"/>
          <w:szCs w:val="22"/>
        </w:rPr>
        <w:t xml:space="preserve">Talking point: </w:t>
      </w:r>
      <w:r>
        <w:rPr>
          <w:rFonts w:ascii="Calibri" w:cs="Calibri" w:eastAsia="Calibri" w:hAnsi="Calibri"/>
          <w:b w:val="false"/>
          <w:bCs w:val="false"/>
          <w:i/>
          <w:iCs/>
          <w:color w:val="1E293B"/>
          <w:sz w:val="22"/>
          <w:szCs w:val="22"/>
        </w:rPr>
        <w:t xml:space="preserve">“UMG isn’t doing the clearing — the producer is. UMG verifies it’s all actually in place before waiving. The rail makes the producer show their work.”</w:t>
      </w:r>
    </w:p>
    <w:p>
      <w:pPr>
        <w:spacing w:after="6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5"/>
          <w:szCs w:val="25"/>
        </w:rPr>
        <w:t xml:space="preserve">Act 4 — Issue the Conditional Label Waiver (the moment)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7085"/>
          <w:sz w:val="20"/>
          <w:szCs w:val="20"/>
        </w:rPr>
        <w:t xml:space="preserve">   · 4 min</w:t>
      </w:r>
    </w:p>
    <w:p>
      <w:pPr>
        <w:spacing w:after="70" w:line="272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Open the final item, </w:t>
      </w: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Conditional Label Waiver — Issue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, and expand the AI-drafted waiver. Read the spine aloud (it’s already in the draft):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UMG waives </w:t>
      </w: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only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for this specific use, conditioned on the producer having obtained all promoter / publishing / performer / venue clearances;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producer must carry E&amp;O + name UMG as additional insured;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producer indemnifies UMG for any third-party claim;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the waiver is </w:t>
      </w: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revocable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if the producer’s representations are false;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it assigns no rights beyond the limited waiver.</w:t>
      </w:r>
    </w:p>
    <w:p>
      <w:pPr>
        <w:spacing w:after="130" w:line="272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B07A00"/>
          <w:sz w:val="22"/>
          <w:szCs w:val="22"/>
        </w:rPr>
        <w:t xml:space="preserve">Talking point (Mara, as the attorney in the room): </w:t>
      </w:r>
      <w:r>
        <w:rPr>
          <w:rFonts w:ascii="Calibri" w:cs="Calibri" w:eastAsia="Calibri" w:hAnsi="Calibri"/>
          <w:b w:val="false"/>
          <w:bCs w:val="false"/>
          <w:i/>
          <w:iCs/>
          <w:color w:val="1E293B"/>
          <w:sz w:val="22"/>
          <w:szCs w:val="22"/>
        </w:rPr>
        <w:t xml:space="preserve">“I’d send this. It keeps UMG as the rights-holder, conditional and revocable — the AI drafted it; I just approved it. That’s the model: AI does the drafting, an attorney signs off.”</w:t>
      </w:r>
    </w:p>
    <w:p>
      <w:pPr>
        <w:spacing w:after="6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5"/>
          <w:szCs w:val="25"/>
        </w:rPr>
        <w:t xml:space="preserve">Act 5 — Control + the record (Tab A)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7085"/>
          <w:sz w:val="20"/>
          <w:szCs w:val="20"/>
        </w:rPr>
        <w:t xml:space="preserve">   · 2 min</w:t>
      </w:r>
    </w:p>
    <w:p>
      <w:pPr>
        <w:spacing w:after="130" w:line="272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Back in the BA dashboard: </w:t>
      </w: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nothing waives without UMG sign-off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(the approval gate), and every approval + document is tracked. Webhooks + REST API can push status back into UMG’s own systems.</w:t>
      </w:r>
    </w:p>
    <w:p>
      <w:pPr>
        <w:spacing w:after="130" w:line="272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B07A00"/>
          <w:sz w:val="22"/>
          <w:szCs w:val="22"/>
        </w:rPr>
        <w:t xml:space="preserve">Talking point: </w:t>
      </w:r>
      <w:r>
        <w:rPr>
          <w:rFonts w:ascii="Calibri" w:cs="Calibri" w:eastAsia="Calibri" w:hAnsi="Calibri"/>
          <w:b w:val="false"/>
          <w:bCs w:val="false"/>
          <w:i/>
          <w:iCs/>
          <w:color w:val="1E293B"/>
          <w:sz w:val="22"/>
          <w:szCs w:val="22"/>
        </w:rPr>
        <w:t xml:space="preserve">“UMG stays in control and gets a clean record — the opposite of an email thread.”</w:t>
      </w:r>
    </w:p>
    <w:p>
      <w:pPr>
        <w:spacing w:after="6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5"/>
          <w:szCs w:val="25"/>
        </w:rPr>
        <w:t xml:space="preserve">Act 6 — Where it goes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7085"/>
          <w:sz w:val="20"/>
          <w:szCs w:val="20"/>
        </w:rPr>
        <w:t xml:space="preserve">   · 1 min</w:t>
      </w:r>
    </w:p>
    <w:p>
      <w:pPr>
        <w:spacing w:after="130" w:line="272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Be honest about the roadmap (below): immutable audit log, provisional → final waiver lifecycle, reusable venue/promoter master lists, then the same rail across all the majors.</w:t>
      </w:r>
    </w:p>
    <w:p>
      <w:pPr>
        <w:spacing w:after="130" w:line="272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B07A00"/>
          <w:sz w:val="22"/>
          <w:szCs w:val="22"/>
        </w:rPr>
        <w:t xml:space="preserve">Talking point: </w:t>
      </w:r>
      <w:r>
        <w:rPr>
          <w:rFonts w:ascii="Calibri" w:cs="Calibri" w:eastAsia="Calibri" w:hAnsi="Calibri"/>
          <w:b w:val="false"/>
          <w:bCs w:val="false"/>
          <w:i/>
          <w:iCs/>
          <w:color w:val="1E293B"/>
          <w:sz w:val="22"/>
          <w:szCs w:val="22"/>
        </w:rPr>
        <w:t xml:space="preserve">“You’d be the first label on the rail — and the rail the platforms plug into on the other side.”</w:t>
      </w:r>
    </w:p>
    <w:p>
      <w:pPr>
        <w:spacing w:after="6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5"/>
          <w:szCs w:val="25"/>
        </w:rPr>
        <w:t xml:space="preserve">Close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7085"/>
          <w:sz w:val="20"/>
          <w:szCs w:val="20"/>
        </w:rPr>
        <w:t xml:space="preserve">   · 1 min</w:t>
      </w:r>
    </w:p>
    <w:p>
      <w:pPr>
        <w:spacing w:after="130" w:line="272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B07A00"/>
          <w:sz w:val="22"/>
          <w:szCs w:val="22"/>
        </w:rPr>
        <w:t xml:space="preserve">Talking point: </w:t>
      </w:r>
      <w:r>
        <w:rPr>
          <w:rFonts w:ascii="Calibri" w:cs="Calibri" w:eastAsia="Calibri" w:hAnsi="Calibri"/>
          <w:b w:val="false"/>
          <w:bCs w:val="false"/>
          <w:i/>
          <w:iCs/>
          <w:color w:val="1E293B"/>
          <w:sz w:val="22"/>
          <w:szCs w:val="22"/>
        </w:rPr>
        <w:t xml:space="preserve">“It’s live in production today. The fastest path is a small paid pilot on a handful of real requests — we onboard UMG as the first label tenant and measure weeks-to-waiver.”</w:t>
      </w:r>
    </w:p>
    <w:p>
      <w:pPr>
        <w:spacing w:after="11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8"/>
          <w:szCs w:val="28"/>
        </w:rPr>
        <w:t xml:space="preserve">Talking points tuned for a label GC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2"/>
          <w:szCs w:val="22"/>
        </w:rPr>
        <w:t xml:space="preserve">Control: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the waiver is conditional and revocable; UMG never stops being the rights-holder.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2"/>
          <w:szCs w:val="22"/>
        </w:rPr>
        <w:t xml:space="preserve">Compliance / record: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every approval and document tracked in one place (vs. discoverable email threads).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2"/>
          <w:szCs w:val="22"/>
        </w:rPr>
        <w:t xml:space="preserve">Speed: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weeks of back-and-forth → days; requests move in parallel.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2"/>
          <w:szCs w:val="22"/>
        </w:rPr>
        <w:t xml:space="preserve">No manual drafting: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the conditional waiver and the producer-facing agreements are AI-drafted, attorney-approved.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2"/>
          <w:szCs w:val="22"/>
        </w:rPr>
        <w:t xml:space="preserve">Leverage: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the producer does the clearing and proves it; UMG just verifies and waives.</w:t>
      </w:r>
    </w:p>
    <w:p>
      <w:pPr>
        <w:spacing w:after="11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8"/>
          <w:szCs w:val="28"/>
        </w:rPr>
        <w:t xml:space="preserve">Live today vs. roadmap (don’t blur these)</w:t>
      </w:r>
    </w:p>
    <w:p>
      <w:pPr>
        <w:spacing w:after="60" w:line="272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2"/>
          <w:szCs w:val="22"/>
        </w:rPr>
        <w:t xml:space="preserve">Live on the deployed rail: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Per-tenant Issuer mode (UMG) vs. Intake mode (platforms) — the toggle we just shipped.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Auto-built Verify &amp; Review checklist + AI-drafted Conditional Label Waiver.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BA approval gate, document upload / on-site signing, .docx export, webhooks + REST API.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Template-backed AI drafting (firm-approved templates) and a deal-term board.</w:t>
      </w:r>
    </w:p>
    <w:p>
      <w:pPr>
        <w:spacing w:after="60" w:line="272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2"/>
          <w:szCs w:val="22"/>
        </w:rPr>
        <w:t xml:space="preserve">Roadmap (built in the separate label-enterprise codebase; to fold into the rail):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Immutable AuditLog (tamper-evident compliance trail).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Provisional → Final waiver lifecycle with cure deadlines.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Reusable Venue / Promoter master lists.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Multi-major rollout (Sony, Warner) on the same rail.</w:t>
      </w:r>
    </w:p>
    <w:p>
      <w:pPr>
        <w:spacing w:after="11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0D3B6E"/>
          <w:sz w:val="28"/>
          <w:szCs w:val="28"/>
        </w:rPr>
        <w:t xml:space="preserve">After the call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Leave the DEMO project clearly labeled; no destructive cleanup needed.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If the GC is warm: propose a </w:t>
      </w:r>
      <w:r>
        <w:rPr>
          <w:rFonts w:ascii="Calibri" w:cs="Calibri" w:eastAsia="Calibri" w:hAnsi="Calibri"/>
          <w:b/>
          <w:bCs/>
          <w:i w:val="false"/>
          <w:iCs w:val="false"/>
          <w:color w:val="1E293B"/>
          <w:sz w:val="22"/>
          <w:szCs w:val="22"/>
        </w:rPr>
        <w:t xml:space="preserve">paid pilot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 scope (N real requests, success metric = weeks-to-waiver), and get their procurement / security contact so the enterprise motion starts. Per the council, neither founder has run that motion — line up help before signature.</w:t>
      </w:r>
    </w:p>
    <w:sectPr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F2A90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  <w:rPr>
        <w:b/>
        <w:bCs/>
        <w:color w:val="0D3B6E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  <w:rPr>
        <w:b/>
        <w:bCs/>
        <w:color w:val="0D3B6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2026-06-23T01:57:28.354Z</dcterms:created>
  <dcterms:modified xsi:type="dcterms:W3CDTF">2026-06-23T01:57:28.372Z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