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ouble" w:color="B8913A" w:sz="6"/>
              <w:left w:val="none" w:color="FFFFFF" w:sz="0"/>
              <w:bottom w:val="double" w:color="B8913A" w:sz="6"/>
              <w:right w:val="none" w:color="FFFFFF" w:sz="0"/>
            </w:tcBorders>
            <w:shd w:fill="0F3B2E" w:color="auto" w:val="clear"/>
            <w:tcMar>
              <w:top w:type="dxa" w:w="200"/>
              <w:left w:type="dxa" w:w="300"/>
              <w:bottom w:type="dxa" w:w="200"/>
              <w:right w:type="dxa" w:w="300"/>
            </w:tcMar>
          </w:tcPr>
          <w:p>
            <w:pPr>
              <w:bidi/>
              <w:spacing w:after="0" w:before="0" w:line="340" w:lineRule="auto"/>
              <w:jc w:val="center"/>
            </w:pPr>
            <w:r>
              <w:rPr>
                <w:rFonts w:ascii="Traditional Arabic" w:cs="Traditional Arabic" w:eastAsia="Traditional Arabic" w:hAnsi="Traditional Arabic"/>
                <w:color w:val="E9D49A"/>
                <w:sz w:val="28"/>
                <w:szCs w:val="28"/>
                <w:rtl/>
              </w:rPr>
              <w:t xml:space="preserve">سِيَرُ العلماء</w:t>
            </w:r>
          </w:p>
          <w:p>
            <w:pPr>
              <w:bidi/>
              <w:spacing w:after="0" w:before="0" w:line="420" w:lineRule="auto"/>
              <w:jc w:val="center"/>
            </w:pPr>
            <w:r>
              <w:rPr>
                <w:rFonts w:ascii="Traditional Arabic" w:cs="Traditional Arabic" w:eastAsia="Traditional Arabic" w:hAnsi="Traditional Arabic"/>
                <w:b/>
                <w:bCs/>
                <w:color w:val="FFFFFF"/>
                <w:sz w:val="60"/>
                <w:szCs w:val="60"/>
                <w:rtl/>
              </w:rPr>
              <w:t xml:space="preserve">الشيخ عثمان بن منصور البرغش</w:t>
            </w:r>
          </w:p>
          <w:p>
            <w:pPr>
              <w:bidi/>
              <w:spacing w:after="0" w:before="0" w:line="340" w:lineRule="auto"/>
              <w:jc w:val="center"/>
            </w:pPr>
            <w:r>
              <w:rPr>
                <w:rFonts w:ascii="Traditional Arabic" w:cs="Traditional Arabic" w:eastAsia="Traditional Arabic" w:hAnsi="Traditional Arabic"/>
                <w:color w:val="E9D49A"/>
                <w:sz w:val="30"/>
                <w:szCs w:val="30"/>
                <w:rtl/>
              </w:rPr>
              <w:t xml:space="preserve">رحمه الله تعالى</w:t>
            </w:r>
          </w:p>
        </w:tc>
      </w:tr>
    </w:tbl>
    <w:p>
      <w:pPr>
        <w:bidi/>
        <w:spacing w:after="160" w:before="0" w:line="340" w:lineRule="auto"/>
        <w:jc w:val="center"/>
      </w:pPr>
    </w:p>
    <w:p>
      <w:pPr>
        <w:bidi/>
        <w:spacing w:after="200" w:before="0"/>
        <w:jc w:val="center"/>
      </w:pPr>
      <w:r>
        <w:drawing>
          <wp:inline distT="0" distB="0" distL="0" distR="0">
            <wp:extent cx="2171700" cy="2895600"/>
            <wp:effectExtent t="76200" r="76200" b="76200" l="7620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171700" cy="2895600"/>
                    </a:xfrm>
                    <a:prstGeom prst="rect">
                      <a:avLst/>
                    </a:prstGeom>
                    <a:noFill/>
                    <a:ln w="38100">
                      <a:solidFill>
                        <a:srgbClr val="B8913A"/>
                      </a:solidFill>
                    </a:ln>
                  </pic:spPr>
                </pic:pic>
              </a:graphicData>
            </a:graphic>
          </wp:inline>
        </w:drawing>
      </w:r>
    </w:p>
    <w:p>
      <w:pPr>
        <w:bidi/>
        <w:spacing w:after="40" w:before="0" w:line="340" w:lineRule="auto"/>
        <w:jc w:val="center"/>
      </w:pPr>
      <w:r>
        <w:rPr>
          <w:rFonts w:ascii="Traditional Arabic" w:cs="Traditional Arabic" w:eastAsia="Traditional Arabic" w:hAnsi="Traditional Arabic"/>
          <w:b/>
          <w:bCs/>
          <w:color w:val="0F3B2E"/>
          <w:sz w:val="30"/>
          <w:szCs w:val="30"/>
          <w:rtl/>
        </w:rPr>
        <w:t xml:space="preserve">عثمان بن منصور بن عبدالرحمن بن عثمان البرغش الوهيبي الحنظلي التميمي</w:t>
      </w:r>
    </w:p>
    <w:p>
      <w:pPr>
        <w:bidi/>
        <w:spacing w:after="60" w:before="0" w:line="340" w:lineRule="auto"/>
        <w:jc w:val="center"/>
      </w:pPr>
      <w:r>
        <w:rPr>
          <w:rFonts w:ascii="Traditional Arabic" w:cs="Traditional Arabic" w:eastAsia="Traditional Arabic" w:hAnsi="Traditional Arabic"/>
          <w:b/>
          <w:bCs/>
          <w:color w:val="B8913A"/>
          <w:sz w:val="28"/>
          <w:szCs w:val="28"/>
          <w:rtl/>
        </w:rPr>
        <w:t xml:space="preserve">تمير، نحو ١٣٤٦هـ  –  الرياض، ٢ شعبان ١٤٣٦هـ</w:t>
      </w:r>
    </w:p>
    <w:p>
      <w:pPr>
        <w:bidi/>
        <w:spacing w:after="160" w:before="80" w:line="340" w:lineRule="auto"/>
        <w:jc w:val="center"/>
      </w:pPr>
      <w:r>
        <w:rPr>
          <w:rFonts w:ascii="Traditional Arabic" w:cs="Traditional Arabic" w:eastAsia="Traditional Arabic" w:hAnsi="Traditional Arabic"/>
          <w:color w:val="B8913A"/>
          <w:sz w:val="24"/>
          <w:szCs w:val="24"/>
          <w:rtl/>
        </w:rPr>
        <w:t xml:space="preserve">❖  ❖  ❖</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single" w:color="B8913A" w:sz="36"/>
            </w:tcBorders>
            <w:shd w:fill="F3EAD3" w:color="auto" w:val="clear"/>
            <w:tcMar>
              <w:top w:type="dxa" w:w="160"/>
              <w:left w:type="dxa" w:w="320"/>
              <w:bottom w:type="dxa" w:w="160"/>
              <w:right w:type="dxa" w:w="320"/>
            </w:tcMar>
          </w:tcPr>
          <w:p>
            <w:pPr>
              <w:bidi/>
              <w:spacing w:after="80" w:before="0" w:line="340" w:lineRule="auto"/>
              <w:jc w:val="right"/>
            </w:pPr>
            <w:r>
              <w:rPr>
                <w:rFonts w:ascii="Traditional Arabic" w:cs="Traditional Arabic" w:eastAsia="Traditional Arabic" w:hAnsi="Traditional Arabic"/>
                <w:b/>
                <w:bCs/>
                <w:color w:val="0F3B2E"/>
                <w:sz w:val="34"/>
                <w:szCs w:val="34"/>
                <w:rtl/>
              </w:rPr>
              <w:t xml:space="preserve">ملخص السيرة</w:t>
            </w:r>
          </w:p>
          <w:p>
            <w:pPr>
              <w:bidi/>
              <w:spacing w:after="0" w:before="0" w:line="320" w:lineRule="auto"/>
              <w:jc w:val="both"/>
            </w:pPr>
            <w:r>
              <w:rPr>
                <w:rFonts w:ascii="Traditional Arabic" w:cs="Traditional Arabic" w:eastAsia="Traditional Arabic" w:hAnsi="Traditional Arabic"/>
                <w:color w:val="2B2416"/>
                <w:sz w:val="28"/>
                <w:szCs w:val="28"/>
                <w:rtl/>
              </w:rPr>
              <w:t xml:space="preserve">عالمٌ فاضل من أهل تمير، وُلد نحو عام ١٣٤٦هـ، وطلب العلم في تمير ثم الرياض على يد سماحة الشيخ محمد بن إبراهيم آل الشيخ، وتخرّج في المعهد العلمي ثم كلية الشريعة بتفوق. أفنى عمره في تعليم القرآن الكريم والعلوم الشرعية حتى تقاعد، ثم تفرّغ للعبادة ونفع الناس، وعُرف بسعة الاطلاع وحسن الخلق والتواضع. توفي في الرياض يوم الأحد ٢ شعبان ١٤٣٦هـ، ودُفن في تمير بوصية منه، رحمه الله.</w:t>
            </w:r>
          </w:p>
        </w:tc>
      </w:tr>
    </w:tbl>
    <w:p>
      <w:pPr>
        <w:bidi/>
        <w:spacing w:after="120" w:before="0" w:line="340" w:lineRule="auto"/>
        <w:jc w:val="center"/>
      </w:pPr>
    </w:p>
    <w:p>
      <w:pPr>
        <w:bidi/>
        <w:spacing w:after="0" w:before="0" w:line="340" w:lineRule="auto"/>
        <w:jc w:val="center"/>
      </w:pPr>
      <w:r>
        <w:rPr>
          <w:rFonts w:ascii="Traditional Arabic" w:cs="Traditional Arabic" w:eastAsia="Traditional Arabic" w:hAnsi="Traditional Arabic"/>
          <w:i/>
          <w:iCs/>
          <w:color w:val="5A4A2A"/>
          <w:sz w:val="26"/>
          <w:szCs w:val="26"/>
          <w:rtl/>
        </w:rPr>
        <w:t xml:space="preserve">بقلم: خالد بن برغش بن عثمان البرغش</w:t>
      </w:r>
    </w:p>
    <w:p>
      <w:pPr>
        <w:bidi/>
      </w:pPr>
      <w:r>
        <w:br w:type="page"/>
      </w:r>
    </w:p>
    <w:p>
      <w:pPr>
        <w:keepNext/>
        <w:pBdr>
          <w:bottom w:val="single" w:color="B8913A" w:sz="12" w:space="4"/>
        </w:pBdr>
        <w:bidi/>
        <w:spacing w:after="140" w:before="300"/>
        <w:jc w:val="right"/>
      </w:pPr>
      <w:r>
        <w:rPr>
          <w:rFonts w:ascii="Traditional Arabic" w:cs="Traditional Arabic" w:eastAsia="Traditional Arabic" w:hAnsi="Traditional Arabic"/>
          <w:color w:val="B8913A"/>
          <w:sz w:val="30"/>
          <w:szCs w:val="30"/>
          <w:rtl/>
        </w:rPr>
        <w:t xml:space="preserve">◆ </w:t>
      </w:r>
      <w:r>
        <w:rPr>
          <w:rFonts w:ascii="Traditional Arabic" w:cs="Traditional Arabic" w:eastAsia="Traditional Arabic" w:hAnsi="Traditional Arabic"/>
          <w:b/>
          <w:bCs/>
          <w:color w:val="0F3B2E"/>
          <w:sz w:val="40"/>
          <w:szCs w:val="40"/>
          <w:rtl/>
        </w:rPr>
        <w:t xml:space="preserve">بطاقة تعريفية</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cantSplit/>
        </w:trPr>
        <w:tc>
          <w:tcPr>
            <w:tcW w:type="dxa" w:w="2300"/>
            <w:tcBorders>
              <w:top w:val="single" w:color="E2CF9C" w:sz="4"/>
              <w:left w:val="single" w:color="E2CF9C" w:sz="4"/>
              <w:bottom w:val="single" w:color="E2CF9C" w:sz="4"/>
              <w:right w:val="single" w:color="E2CF9C" w:sz="4"/>
            </w:tcBorders>
            <w:shd w:fill="0F3B2E" w:color="auto" w:val="clear"/>
            <w:tcMar>
              <w:top w:type="dxa" w:w="60"/>
              <w:left w:type="dxa" w:w="140"/>
              <w:bottom w:type="dxa" w:w="60"/>
              <w:right w:type="dxa" w:w="140"/>
            </w:tcMar>
            <w:vAlign w:val="center"/>
          </w:tcPr>
          <w:p>
            <w:pPr>
              <w:bidi/>
              <w:spacing w:after="0" w:before="0" w:line="300" w:lineRule="auto"/>
              <w:jc w:val="right"/>
            </w:pPr>
            <w:r>
              <w:rPr>
                <w:rFonts w:ascii="Traditional Arabic" w:cs="Traditional Arabic" w:eastAsia="Traditional Arabic" w:hAnsi="Traditional Arabic"/>
                <w:b/>
                <w:bCs/>
                <w:color w:val="F6E7B8"/>
                <w:sz w:val="28"/>
                <w:szCs w:val="28"/>
                <w:rtl/>
              </w:rPr>
              <w:t xml:space="preserve">الاسم</w:t>
            </w:r>
          </w:p>
        </w:tc>
        <w:tc>
          <w:tcPr>
            <w:tcW w:type="dxa" w:w="6726"/>
            <w:tcBorders>
              <w:top w:val="single" w:color="E2CF9C" w:sz="4"/>
              <w:left w:val="single" w:color="E2CF9C" w:sz="4"/>
              <w:bottom w:val="single" w:color="E2CF9C" w:sz="4"/>
              <w:right w:val="single" w:color="E2CF9C" w:sz="4"/>
            </w:tcBorders>
            <w:shd w:fill="FBF6E9" w:color="auto" w:val="clear"/>
            <w:tcMar>
              <w:top w:type="dxa" w:w="60"/>
              <w:left w:type="dxa" w:w="160"/>
              <w:bottom w:type="dxa" w:w="60"/>
              <w:right w:type="dxa" w:w="160"/>
            </w:tcMar>
            <w:vAlign w:val="center"/>
          </w:tcPr>
          <w:p>
            <w:pPr>
              <w:bidi/>
              <w:spacing w:after="0" w:before="0" w:line="300" w:lineRule="auto"/>
              <w:jc w:val="right"/>
            </w:pPr>
            <w:r>
              <w:rPr>
                <w:rFonts w:ascii="Traditional Arabic" w:cs="Traditional Arabic" w:eastAsia="Traditional Arabic" w:hAnsi="Traditional Arabic"/>
                <w:color w:val="2B2416"/>
                <w:sz w:val="28"/>
                <w:szCs w:val="28"/>
                <w:rtl/>
              </w:rPr>
              <w:t xml:space="preserve">عثمان بن منصور بن عبدالرحمن بن عثمان البرغش، الوهيبي الحنظلي التميمي</w:t>
            </w:r>
          </w:p>
        </w:tc>
      </w:tr>
      <w:tr>
        <w:trPr>
          <w:cantSplit/>
        </w:trPr>
        <w:tc>
          <w:tcPr>
            <w:tcW w:type="dxa" w:w="2300"/>
            <w:tcBorders>
              <w:top w:val="single" w:color="E2CF9C" w:sz="4"/>
              <w:left w:val="single" w:color="E2CF9C" w:sz="4"/>
              <w:bottom w:val="single" w:color="E2CF9C" w:sz="4"/>
              <w:right w:val="single" w:color="E2CF9C" w:sz="4"/>
            </w:tcBorders>
            <w:shd w:fill="0F3B2E" w:color="auto" w:val="clear"/>
            <w:tcMar>
              <w:top w:type="dxa" w:w="60"/>
              <w:left w:type="dxa" w:w="140"/>
              <w:bottom w:type="dxa" w:w="60"/>
              <w:right w:type="dxa" w:w="140"/>
            </w:tcMar>
            <w:vAlign w:val="center"/>
          </w:tcPr>
          <w:p>
            <w:pPr>
              <w:bidi/>
              <w:spacing w:after="0" w:before="0" w:line="300" w:lineRule="auto"/>
              <w:jc w:val="right"/>
            </w:pPr>
            <w:r>
              <w:rPr>
                <w:rFonts w:ascii="Traditional Arabic" w:cs="Traditional Arabic" w:eastAsia="Traditional Arabic" w:hAnsi="Traditional Arabic"/>
                <w:b/>
                <w:bCs/>
                <w:color w:val="F6E7B8"/>
                <w:sz w:val="28"/>
                <w:szCs w:val="28"/>
                <w:rtl/>
              </w:rPr>
              <w:t xml:space="preserve">المولد</w:t>
            </w:r>
          </w:p>
        </w:tc>
        <w:tc>
          <w:tcPr>
            <w:tcW w:type="dxa" w:w="6726"/>
            <w:tcBorders>
              <w:top w:val="single" w:color="E2CF9C" w:sz="4"/>
              <w:left w:val="single" w:color="E2CF9C" w:sz="4"/>
              <w:bottom w:val="single" w:color="E2CF9C" w:sz="4"/>
              <w:right w:val="single" w:color="E2CF9C" w:sz="4"/>
            </w:tcBorders>
            <w:shd w:fill="FFFFFF" w:color="auto" w:val="clear"/>
            <w:tcMar>
              <w:top w:type="dxa" w:w="60"/>
              <w:left w:type="dxa" w:w="160"/>
              <w:bottom w:type="dxa" w:w="60"/>
              <w:right w:type="dxa" w:w="160"/>
            </w:tcMar>
            <w:vAlign w:val="center"/>
          </w:tcPr>
          <w:p>
            <w:pPr>
              <w:bidi/>
              <w:spacing w:after="0" w:before="0" w:line="300" w:lineRule="auto"/>
              <w:jc w:val="right"/>
            </w:pPr>
            <w:r>
              <w:rPr>
                <w:rFonts w:ascii="Traditional Arabic" w:cs="Traditional Arabic" w:eastAsia="Traditional Arabic" w:hAnsi="Traditional Arabic"/>
                <w:color w:val="2B2416"/>
                <w:sz w:val="28"/>
                <w:szCs w:val="28"/>
                <w:rtl/>
              </w:rPr>
              <w:t xml:space="preserve">تمير، نحو عام ١٣٤٦هـ</w:t>
            </w:r>
          </w:p>
        </w:tc>
      </w:tr>
      <w:tr>
        <w:trPr>
          <w:cantSplit/>
        </w:trPr>
        <w:tc>
          <w:tcPr>
            <w:tcW w:type="dxa" w:w="2300"/>
            <w:tcBorders>
              <w:top w:val="single" w:color="E2CF9C" w:sz="4"/>
              <w:left w:val="single" w:color="E2CF9C" w:sz="4"/>
              <w:bottom w:val="single" w:color="E2CF9C" w:sz="4"/>
              <w:right w:val="single" w:color="E2CF9C" w:sz="4"/>
            </w:tcBorders>
            <w:shd w:fill="0F3B2E" w:color="auto" w:val="clear"/>
            <w:tcMar>
              <w:top w:type="dxa" w:w="60"/>
              <w:left w:type="dxa" w:w="140"/>
              <w:bottom w:type="dxa" w:w="60"/>
              <w:right w:type="dxa" w:w="140"/>
            </w:tcMar>
            <w:vAlign w:val="center"/>
          </w:tcPr>
          <w:p>
            <w:pPr>
              <w:bidi/>
              <w:spacing w:after="0" w:before="0" w:line="300" w:lineRule="auto"/>
              <w:jc w:val="right"/>
            </w:pPr>
            <w:r>
              <w:rPr>
                <w:rFonts w:ascii="Traditional Arabic" w:cs="Traditional Arabic" w:eastAsia="Traditional Arabic" w:hAnsi="Traditional Arabic"/>
                <w:b/>
                <w:bCs/>
                <w:color w:val="F6E7B8"/>
                <w:sz w:val="28"/>
                <w:szCs w:val="28"/>
                <w:rtl/>
              </w:rPr>
              <w:t xml:space="preserve">الوالد</w:t>
            </w:r>
          </w:p>
        </w:tc>
        <w:tc>
          <w:tcPr>
            <w:tcW w:type="dxa" w:w="6726"/>
            <w:tcBorders>
              <w:top w:val="single" w:color="E2CF9C" w:sz="4"/>
              <w:left w:val="single" w:color="E2CF9C" w:sz="4"/>
              <w:bottom w:val="single" w:color="E2CF9C" w:sz="4"/>
              <w:right w:val="single" w:color="E2CF9C" w:sz="4"/>
            </w:tcBorders>
            <w:shd w:fill="FBF6E9" w:color="auto" w:val="clear"/>
            <w:tcMar>
              <w:top w:type="dxa" w:w="60"/>
              <w:left w:type="dxa" w:w="160"/>
              <w:bottom w:type="dxa" w:w="60"/>
              <w:right w:type="dxa" w:w="160"/>
            </w:tcMar>
            <w:vAlign w:val="center"/>
          </w:tcPr>
          <w:p>
            <w:pPr>
              <w:bidi/>
              <w:spacing w:after="0" w:before="0" w:line="300" w:lineRule="auto"/>
              <w:jc w:val="right"/>
            </w:pPr>
            <w:r>
              <w:rPr>
                <w:rFonts w:ascii="Traditional Arabic" w:cs="Traditional Arabic" w:eastAsia="Traditional Arabic" w:hAnsi="Traditional Arabic"/>
                <w:color w:val="2B2416"/>
                <w:sz w:val="28"/>
                <w:szCs w:val="28"/>
                <w:rtl/>
              </w:rPr>
              <w:t xml:space="preserve">منصور بن عبدالرحمن البرغش</w:t>
            </w:r>
          </w:p>
        </w:tc>
      </w:tr>
      <w:tr>
        <w:trPr>
          <w:cantSplit/>
        </w:trPr>
        <w:tc>
          <w:tcPr>
            <w:tcW w:type="dxa" w:w="2300"/>
            <w:tcBorders>
              <w:top w:val="single" w:color="E2CF9C" w:sz="4"/>
              <w:left w:val="single" w:color="E2CF9C" w:sz="4"/>
              <w:bottom w:val="single" w:color="E2CF9C" w:sz="4"/>
              <w:right w:val="single" w:color="E2CF9C" w:sz="4"/>
            </w:tcBorders>
            <w:shd w:fill="0F3B2E" w:color="auto" w:val="clear"/>
            <w:tcMar>
              <w:top w:type="dxa" w:w="60"/>
              <w:left w:type="dxa" w:w="140"/>
              <w:bottom w:type="dxa" w:w="60"/>
              <w:right w:type="dxa" w:w="140"/>
            </w:tcMar>
            <w:vAlign w:val="center"/>
          </w:tcPr>
          <w:p>
            <w:pPr>
              <w:bidi/>
              <w:spacing w:after="0" w:before="0" w:line="300" w:lineRule="auto"/>
              <w:jc w:val="right"/>
            </w:pPr>
            <w:r>
              <w:rPr>
                <w:rFonts w:ascii="Traditional Arabic" w:cs="Traditional Arabic" w:eastAsia="Traditional Arabic" w:hAnsi="Traditional Arabic"/>
                <w:b/>
                <w:bCs/>
                <w:color w:val="F6E7B8"/>
                <w:sz w:val="28"/>
                <w:szCs w:val="28"/>
                <w:rtl/>
              </w:rPr>
              <w:t xml:space="preserve">الوالدة</w:t>
            </w:r>
          </w:p>
        </w:tc>
        <w:tc>
          <w:tcPr>
            <w:tcW w:type="dxa" w:w="6726"/>
            <w:tcBorders>
              <w:top w:val="single" w:color="E2CF9C" w:sz="4"/>
              <w:left w:val="single" w:color="E2CF9C" w:sz="4"/>
              <w:bottom w:val="single" w:color="E2CF9C" w:sz="4"/>
              <w:right w:val="single" w:color="E2CF9C" w:sz="4"/>
            </w:tcBorders>
            <w:shd w:fill="FFFFFF" w:color="auto" w:val="clear"/>
            <w:tcMar>
              <w:top w:type="dxa" w:w="60"/>
              <w:left w:type="dxa" w:w="160"/>
              <w:bottom w:type="dxa" w:w="60"/>
              <w:right w:type="dxa" w:w="160"/>
            </w:tcMar>
            <w:vAlign w:val="center"/>
          </w:tcPr>
          <w:p>
            <w:pPr>
              <w:bidi/>
              <w:spacing w:after="0" w:before="0" w:line="300" w:lineRule="auto"/>
              <w:jc w:val="right"/>
            </w:pPr>
            <w:r>
              <w:rPr>
                <w:rFonts w:ascii="Traditional Arabic" w:cs="Traditional Arabic" w:eastAsia="Traditional Arabic" w:hAnsi="Traditional Arabic"/>
                <w:color w:val="2B2416"/>
                <w:sz w:val="28"/>
                <w:szCs w:val="28"/>
                <w:rtl/>
              </w:rPr>
              <w:t xml:space="preserve">هيا بنت عثمان بن محمد المبارك، الملقب بـ«الرقيبة»، من أسرة المنيعات العمروية التميمية</w:t>
            </w:r>
          </w:p>
        </w:tc>
      </w:tr>
      <w:tr>
        <w:trPr>
          <w:cantSplit/>
        </w:trPr>
        <w:tc>
          <w:tcPr>
            <w:tcW w:type="dxa" w:w="2300"/>
            <w:tcBorders>
              <w:top w:val="single" w:color="E2CF9C" w:sz="4"/>
              <w:left w:val="single" w:color="E2CF9C" w:sz="4"/>
              <w:bottom w:val="single" w:color="E2CF9C" w:sz="4"/>
              <w:right w:val="single" w:color="E2CF9C" w:sz="4"/>
            </w:tcBorders>
            <w:shd w:fill="0F3B2E" w:color="auto" w:val="clear"/>
            <w:tcMar>
              <w:top w:type="dxa" w:w="60"/>
              <w:left w:type="dxa" w:w="140"/>
              <w:bottom w:type="dxa" w:w="60"/>
              <w:right w:type="dxa" w:w="140"/>
            </w:tcMar>
            <w:vAlign w:val="center"/>
          </w:tcPr>
          <w:p>
            <w:pPr>
              <w:bidi/>
              <w:spacing w:after="0" w:before="0" w:line="300" w:lineRule="auto"/>
              <w:jc w:val="right"/>
            </w:pPr>
            <w:r>
              <w:rPr>
                <w:rFonts w:ascii="Traditional Arabic" w:cs="Traditional Arabic" w:eastAsia="Traditional Arabic" w:hAnsi="Traditional Arabic"/>
                <w:b/>
                <w:bCs/>
                <w:color w:val="F6E7B8"/>
                <w:sz w:val="28"/>
                <w:szCs w:val="28"/>
                <w:rtl/>
              </w:rPr>
              <w:t xml:space="preserve">أبرز شيوخه</w:t>
            </w:r>
          </w:p>
        </w:tc>
        <w:tc>
          <w:tcPr>
            <w:tcW w:type="dxa" w:w="6726"/>
            <w:tcBorders>
              <w:top w:val="single" w:color="E2CF9C" w:sz="4"/>
              <w:left w:val="single" w:color="E2CF9C" w:sz="4"/>
              <w:bottom w:val="single" w:color="E2CF9C" w:sz="4"/>
              <w:right w:val="single" w:color="E2CF9C" w:sz="4"/>
            </w:tcBorders>
            <w:shd w:fill="FBF6E9" w:color="auto" w:val="clear"/>
            <w:tcMar>
              <w:top w:type="dxa" w:w="60"/>
              <w:left w:type="dxa" w:w="160"/>
              <w:bottom w:type="dxa" w:w="60"/>
              <w:right w:type="dxa" w:w="160"/>
            </w:tcMar>
            <w:vAlign w:val="center"/>
          </w:tcPr>
          <w:p>
            <w:pPr>
              <w:bidi/>
              <w:spacing w:after="0" w:before="0" w:line="300" w:lineRule="auto"/>
              <w:jc w:val="right"/>
            </w:pPr>
            <w:r>
              <w:rPr>
                <w:rFonts w:ascii="Traditional Arabic" w:cs="Traditional Arabic" w:eastAsia="Traditional Arabic" w:hAnsi="Traditional Arabic"/>
                <w:color w:val="2B2416"/>
                <w:sz w:val="28"/>
                <w:szCs w:val="28"/>
                <w:rtl/>
              </w:rPr>
              <w:t xml:space="preserve">سماحة الشيخ محمد بن إبراهيم آل الشيخ (مدرسة رباط الإخوان)</w:t>
            </w:r>
          </w:p>
        </w:tc>
      </w:tr>
      <w:tr>
        <w:trPr>
          <w:cantSplit/>
        </w:trPr>
        <w:tc>
          <w:tcPr>
            <w:tcW w:type="dxa" w:w="2300"/>
            <w:tcBorders>
              <w:top w:val="single" w:color="E2CF9C" w:sz="4"/>
              <w:left w:val="single" w:color="E2CF9C" w:sz="4"/>
              <w:bottom w:val="single" w:color="E2CF9C" w:sz="4"/>
              <w:right w:val="single" w:color="E2CF9C" w:sz="4"/>
            </w:tcBorders>
            <w:shd w:fill="0F3B2E" w:color="auto" w:val="clear"/>
            <w:tcMar>
              <w:top w:type="dxa" w:w="60"/>
              <w:left w:type="dxa" w:w="140"/>
              <w:bottom w:type="dxa" w:w="60"/>
              <w:right w:type="dxa" w:w="140"/>
            </w:tcMar>
            <w:vAlign w:val="center"/>
          </w:tcPr>
          <w:p>
            <w:pPr>
              <w:bidi/>
              <w:spacing w:after="0" w:before="0" w:line="300" w:lineRule="auto"/>
              <w:jc w:val="right"/>
            </w:pPr>
            <w:r>
              <w:rPr>
                <w:rFonts w:ascii="Traditional Arabic" w:cs="Traditional Arabic" w:eastAsia="Traditional Arabic" w:hAnsi="Traditional Arabic"/>
                <w:b/>
                <w:bCs/>
                <w:color w:val="F6E7B8"/>
                <w:sz w:val="28"/>
                <w:szCs w:val="28"/>
                <w:rtl/>
              </w:rPr>
              <w:t xml:space="preserve">دراسته</w:t>
            </w:r>
          </w:p>
        </w:tc>
        <w:tc>
          <w:tcPr>
            <w:tcW w:type="dxa" w:w="6726"/>
            <w:tcBorders>
              <w:top w:val="single" w:color="E2CF9C" w:sz="4"/>
              <w:left w:val="single" w:color="E2CF9C" w:sz="4"/>
              <w:bottom w:val="single" w:color="E2CF9C" w:sz="4"/>
              <w:right w:val="single" w:color="E2CF9C" w:sz="4"/>
            </w:tcBorders>
            <w:shd w:fill="FFFFFF" w:color="auto" w:val="clear"/>
            <w:tcMar>
              <w:top w:type="dxa" w:w="60"/>
              <w:left w:type="dxa" w:w="160"/>
              <w:bottom w:type="dxa" w:w="60"/>
              <w:right w:type="dxa" w:w="160"/>
            </w:tcMar>
            <w:vAlign w:val="center"/>
          </w:tcPr>
          <w:p>
            <w:pPr>
              <w:bidi/>
              <w:spacing w:after="0" w:before="0" w:line="300" w:lineRule="auto"/>
              <w:jc w:val="right"/>
            </w:pPr>
            <w:r>
              <w:rPr>
                <w:rFonts w:ascii="Traditional Arabic" w:cs="Traditional Arabic" w:eastAsia="Traditional Arabic" w:hAnsi="Traditional Arabic"/>
                <w:color w:val="2B2416"/>
                <w:sz w:val="28"/>
                <w:szCs w:val="28"/>
                <w:rtl/>
              </w:rPr>
              <w:t xml:space="preserve">المعهد العلمي بالرياض، ثم كلية الشريعة وتخرّج منها بتفوق</w:t>
            </w:r>
          </w:p>
        </w:tc>
      </w:tr>
      <w:tr>
        <w:trPr>
          <w:cantSplit/>
        </w:trPr>
        <w:tc>
          <w:tcPr>
            <w:tcW w:type="dxa" w:w="2300"/>
            <w:tcBorders>
              <w:top w:val="single" w:color="E2CF9C" w:sz="4"/>
              <w:left w:val="single" w:color="E2CF9C" w:sz="4"/>
              <w:bottom w:val="single" w:color="E2CF9C" w:sz="4"/>
              <w:right w:val="single" w:color="E2CF9C" w:sz="4"/>
            </w:tcBorders>
            <w:shd w:fill="0F3B2E" w:color="auto" w:val="clear"/>
            <w:tcMar>
              <w:top w:type="dxa" w:w="60"/>
              <w:left w:type="dxa" w:w="140"/>
              <w:bottom w:type="dxa" w:w="60"/>
              <w:right w:type="dxa" w:w="140"/>
            </w:tcMar>
            <w:vAlign w:val="center"/>
          </w:tcPr>
          <w:p>
            <w:pPr>
              <w:bidi/>
              <w:spacing w:after="0" w:before="0" w:line="300" w:lineRule="auto"/>
              <w:jc w:val="right"/>
            </w:pPr>
            <w:r>
              <w:rPr>
                <w:rFonts w:ascii="Traditional Arabic" w:cs="Traditional Arabic" w:eastAsia="Traditional Arabic" w:hAnsi="Traditional Arabic"/>
                <w:b/>
                <w:bCs/>
                <w:color w:val="F6E7B8"/>
                <w:sz w:val="28"/>
                <w:szCs w:val="28"/>
                <w:rtl/>
              </w:rPr>
              <w:t xml:space="preserve">من زملائه</w:t>
            </w:r>
          </w:p>
        </w:tc>
        <w:tc>
          <w:tcPr>
            <w:tcW w:type="dxa" w:w="6726"/>
            <w:tcBorders>
              <w:top w:val="single" w:color="E2CF9C" w:sz="4"/>
              <w:left w:val="single" w:color="E2CF9C" w:sz="4"/>
              <w:bottom w:val="single" w:color="E2CF9C" w:sz="4"/>
              <w:right w:val="single" w:color="E2CF9C" w:sz="4"/>
            </w:tcBorders>
            <w:shd w:fill="FBF6E9" w:color="auto" w:val="clear"/>
            <w:tcMar>
              <w:top w:type="dxa" w:w="60"/>
              <w:left w:type="dxa" w:w="160"/>
              <w:bottom w:type="dxa" w:w="60"/>
              <w:right w:type="dxa" w:w="160"/>
            </w:tcMar>
            <w:vAlign w:val="center"/>
          </w:tcPr>
          <w:p>
            <w:pPr>
              <w:bidi/>
              <w:spacing w:after="0" w:before="0" w:line="300" w:lineRule="auto"/>
              <w:jc w:val="right"/>
            </w:pPr>
            <w:r>
              <w:rPr>
                <w:rFonts w:ascii="Traditional Arabic" w:cs="Traditional Arabic" w:eastAsia="Traditional Arabic" w:hAnsi="Traditional Arabic"/>
                <w:color w:val="2B2416"/>
                <w:sz w:val="28"/>
                <w:szCs w:val="28"/>
                <w:rtl/>
              </w:rPr>
              <w:t xml:space="preserve">سماحة المفتي الشيخ عبدالعزيز بن عبدالله آل الشيخ</w:t>
            </w:r>
          </w:p>
        </w:tc>
      </w:tr>
      <w:tr>
        <w:trPr>
          <w:cantSplit/>
        </w:trPr>
        <w:tc>
          <w:tcPr>
            <w:tcW w:type="dxa" w:w="2300"/>
            <w:tcBorders>
              <w:top w:val="single" w:color="E2CF9C" w:sz="4"/>
              <w:left w:val="single" w:color="E2CF9C" w:sz="4"/>
              <w:bottom w:val="single" w:color="E2CF9C" w:sz="4"/>
              <w:right w:val="single" w:color="E2CF9C" w:sz="4"/>
            </w:tcBorders>
            <w:shd w:fill="0F3B2E" w:color="auto" w:val="clear"/>
            <w:tcMar>
              <w:top w:type="dxa" w:w="60"/>
              <w:left w:type="dxa" w:w="140"/>
              <w:bottom w:type="dxa" w:w="60"/>
              <w:right w:type="dxa" w:w="140"/>
            </w:tcMar>
            <w:vAlign w:val="center"/>
          </w:tcPr>
          <w:p>
            <w:pPr>
              <w:bidi/>
              <w:spacing w:after="0" w:before="0" w:line="300" w:lineRule="auto"/>
              <w:jc w:val="right"/>
            </w:pPr>
            <w:r>
              <w:rPr>
                <w:rFonts w:ascii="Traditional Arabic" w:cs="Traditional Arabic" w:eastAsia="Traditional Arabic" w:hAnsi="Traditional Arabic"/>
                <w:b/>
                <w:bCs/>
                <w:color w:val="F6E7B8"/>
                <w:sz w:val="28"/>
                <w:szCs w:val="28"/>
                <w:rtl/>
              </w:rPr>
              <w:t xml:space="preserve">عمله</w:t>
            </w:r>
          </w:p>
        </w:tc>
        <w:tc>
          <w:tcPr>
            <w:tcW w:type="dxa" w:w="6726"/>
            <w:tcBorders>
              <w:top w:val="single" w:color="E2CF9C" w:sz="4"/>
              <w:left w:val="single" w:color="E2CF9C" w:sz="4"/>
              <w:bottom w:val="single" w:color="E2CF9C" w:sz="4"/>
              <w:right w:val="single" w:color="E2CF9C" w:sz="4"/>
            </w:tcBorders>
            <w:shd w:fill="FFFFFF" w:color="auto" w:val="clear"/>
            <w:tcMar>
              <w:top w:type="dxa" w:w="60"/>
              <w:left w:type="dxa" w:w="160"/>
              <w:bottom w:type="dxa" w:w="60"/>
              <w:right w:type="dxa" w:w="160"/>
            </w:tcMar>
            <w:vAlign w:val="center"/>
          </w:tcPr>
          <w:p>
            <w:pPr>
              <w:bidi/>
              <w:spacing w:after="0" w:before="0" w:line="300" w:lineRule="auto"/>
              <w:jc w:val="right"/>
            </w:pPr>
            <w:r>
              <w:rPr>
                <w:rFonts w:ascii="Traditional Arabic" w:cs="Traditional Arabic" w:eastAsia="Traditional Arabic" w:hAnsi="Traditional Arabic"/>
                <w:color w:val="2B2416"/>
                <w:sz w:val="28"/>
                <w:szCs w:val="28"/>
                <w:rtl/>
              </w:rPr>
              <w:t xml:space="preserve">مدرّس لتحفيظ القرآن الكريم والعلوم الشرعية حتى التقاعد</w:t>
            </w:r>
          </w:p>
        </w:tc>
      </w:tr>
      <w:tr>
        <w:trPr>
          <w:cantSplit/>
        </w:trPr>
        <w:tc>
          <w:tcPr>
            <w:tcW w:type="dxa" w:w="2300"/>
            <w:tcBorders>
              <w:top w:val="single" w:color="E2CF9C" w:sz="4"/>
              <w:left w:val="single" w:color="E2CF9C" w:sz="4"/>
              <w:bottom w:val="single" w:color="E2CF9C" w:sz="4"/>
              <w:right w:val="single" w:color="E2CF9C" w:sz="4"/>
            </w:tcBorders>
            <w:shd w:fill="0F3B2E" w:color="auto" w:val="clear"/>
            <w:tcMar>
              <w:top w:type="dxa" w:w="60"/>
              <w:left w:type="dxa" w:w="140"/>
              <w:bottom w:type="dxa" w:w="60"/>
              <w:right w:type="dxa" w:w="140"/>
            </w:tcMar>
            <w:vAlign w:val="center"/>
          </w:tcPr>
          <w:p>
            <w:pPr>
              <w:bidi/>
              <w:spacing w:after="0" w:before="0" w:line="300" w:lineRule="auto"/>
              <w:jc w:val="right"/>
            </w:pPr>
            <w:r>
              <w:rPr>
                <w:rFonts w:ascii="Traditional Arabic" w:cs="Traditional Arabic" w:eastAsia="Traditional Arabic" w:hAnsi="Traditional Arabic"/>
                <w:b/>
                <w:bCs/>
                <w:color w:val="F6E7B8"/>
                <w:sz w:val="28"/>
                <w:szCs w:val="28"/>
                <w:rtl/>
              </w:rPr>
              <w:t xml:space="preserve">أماكن إقامته</w:t>
            </w:r>
          </w:p>
        </w:tc>
        <w:tc>
          <w:tcPr>
            <w:tcW w:type="dxa" w:w="6726"/>
            <w:tcBorders>
              <w:top w:val="single" w:color="E2CF9C" w:sz="4"/>
              <w:left w:val="single" w:color="E2CF9C" w:sz="4"/>
              <w:bottom w:val="single" w:color="E2CF9C" w:sz="4"/>
              <w:right w:val="single" w:color="E2CF9C" w:sz="4"/>
            </w:tcBorders>
            <w:shd w:fill="FBF6E9" w:color="auto" w:val="clear"/>
            <w:tcMar>
              <w:top w:type="dxa" w:w="60"/>
              <w:left w:type="dxa" w:w="160"/>
              <w:bottom w:type="dxa" w:w="60"/>
              <w:right w:type="dxa" w:w="160"/>
            </w:tcMar>
            <w:vAlign w:val="center"/>
          </w:tcPr>
          <w:p>
            <w:pPr>
              <w:bidi/>
              <w:spacing w:after="0" w:before="0" w:line="300" w:lineRule="auto"/>
              <w:jc w:val="right"/>
            </w:pPr>
            <w:r>
              <w:rPr>
                <w:rFonts w:ascii="Traditional Arabic" w:cs="Traditional Arabic" w:eastAsia="Traditional Arabic" w:hAnsi="Traditional Arabic"/>
                <w:color w:val="2B2416"/>
                <w:sz w:val="28"/>
                <w:szCs w:val="28"/>
                <w:rtl/>
              </w:rPr>
              <w:t xml:space="preserve">تمير، الرياض، عنيزة، ثم حي سلطان</w:t>
            </w:r>
          </w:p>
        </w:tc>
      </w:tr>
      <w:tr>
        <w:trPr>
          <w:cantSplit/>
        </w:trPr>
        <w:tc>
          <w:tcPr>
            <w:tcW w:type="dxa" w:w="2300"/>
            <w:tcBorders>
              <w:top w:val="single" w:color="E2CF9C" w:sz="4"/>
              <w:left w:val="single" w:color="E2CF9C" w:sz="4"/>
              <w:bottom w:val="single" w:color="E2CF9C" w:sz="4"/>
              <w:right w:val="single" w:color="E2CF9C" w:sz="4"/>
            </w:tcBorders>
            <w:shd w:fill="0F3B2E" w:color="auto" w:val="clear"/>
            <w:tcMar>
              <w:top w:type="dxa" w:w="60"/>
              <w:left w:type="dxa" w:w="140"/>
              <w:bottom w:type="dxa" w:w="60"/>
              <w:right w:type="dxa" w:w="140"/>
            </w:tcMar>
            <w:vAlign w:val="center"/>
          </w:tcPr>
          <w:p>
            <w:pPr>
              <w:bidi/>
              <w:spacing w:after="0" w:before="0" w:line="300" w:lineRule="auto"/>
              <w:jc w:val="right"/>
            </w:pPr>
            <w:r>
              <w:rPr>
                <w:rFonts w:ascii="Traditional Arabic" w:cs="Traditional Arabic" w:eastAsia="Traditional Arabic" w:hAnsi="Traditional Arabic"/>
                <w:b/>
                <w:bCs/>
                <w:color w:val="F6E7B8"/>
                <w:sz w:val="28"/>
                <w:szCs w:val="28"/>
                <w:rtl/>
              </w:rPr>
              <w:t xml:space="preserve">الوفاة</w:t>
            </w:r>
          </w:p>
        </w:tc>
        <w:tc>
          <w:tcPr>
            <w:tcW w:type="dxa" w:w="6726"/>
            <w:tcBorders>
              <w:top w:val="single" w:color="E2CF9C" w:sz="4"/>
              <w:left w:val="single" w:color="E2CF9C" w:sz="4"/>
              <w:bottom w:val="single" w:color="E2CF9C" w:sz="4"/>
              <w:right w:val="single" w:color="E2CF9C" w:sz="4"/>
            </w:tcBorders>
            <w:shd w:fill="FFFFFF" w:color="auto" w:val="clear"/>
            <w:tcMar>
              <w:top w:type="dxa" w:w="60"/>
              <w:left w:type="dxa" w:w="160"/>
              <w:bottom w:type="dxa" w:w="60"/>
              <w:right w:type="dxa" w:w="160"/>
            </w:tcMar>
            <w:vAlign w:val="center"/>
          </w:tcPr>
          <w:p>
            <w:pPr>
              <w:bidi/>
              <w:spacing w:after="0" w:before="0" w:line="300" w:lineRule="auto"/>
              <w:jc w:val="right"/>
            </w:pPr>
            <w:r>
              <w:rPr>
                <w:rFonts w:ascii="Traditional Arabic" w:cs="Traditional Arabic" w:eastAsia="Traditional Arabic" w:hAnsi="Traditional Arabic"/>
                <w:color w:val="2B2416"/>
                <w:sz w:val="28"/>
                <w:szCs w:val="28"/>
                <w:rtl/>
              </w:rPr>
              <w:t xml:space="preserve">يوم الأحد ٢ شعبان ١٤٣٦هـ، بمستشفى الملك فيصل التخصصي بالرياض</w:t>
            </w:r>
          </w:p>
        </w:tc>
      </w:tr>
      <w:tr>
        <w:trPr>
          <w:cantSplit/>
        </w:trPr>
        <w:tc>
          <w:tcPr>
            <w:tcW w:type="dxa" w:w="2300"/>
            <w:tcBorders>
              <w:top w:val="single" w:color="E2CF9C" w:sz="4"/>
              <w:left w:val="single" w:color="E2CF9C" w:sz="4"/>
              <w:bottom w:val="single" w:color="E2CF9C" w:sz="4"/>
              <w:right w:val="single" w:color="E2CF9C" w:sz="4"/>
            </w:tcBorders>
            <w:shd w:fill="0F3B2E" w:color="auto" w:val="clear"/>
            <w:tcMar>
              <w:top w:type="dxa" w:w="60"/>
              <w:left w:type="dxa" w:w="140"/>
              <w:bottom w:type="dxa" w:w="60"/>
              <w:right w:type="dxa" w:w="140"/>
            </w:tcMar>
            <w:vAlign w:val="center"/>
          </w:tcPr>
          <w:p>
            <w:pPr>
              <w:bidi/>
              <w:spacing w:after="0" w:before="0" w:line="300" w:lineRule="auto"/>
              <w:jc w:val="right"/>
            </w:pPr>
            <w:r>
              <w:rPr>
                <w:rFonts w:ascii="Traditional Arabic" w:cs="Traditional Arabic" w:eastAsia="Traditional Arabic" w:hAnsi="Traditional Arabic"/>
                <w:b/>
                <w:bCs/>
                <w:color w:val="F6E7B8"/>
                <w:sz w:val="28"/>
                <w:szCs w:val="28"/>
                <w:rtl/>
              </w:rPr>
              <w:t xml:space="preserve">مدفنه</w:t>
            </w:r>
          </w:p>
        </w:tc>
        <w:tc>
          <w:tcPr>
            <w:tcW w:type="dxa" w:w="6726"/>
            <w:tcBorders>
              <w:top w:val="single" w:color="E2CF9C" w:sz="4"/>
              <w:left w:val="single" w:color="E2CF9C" w:sz="4"/>
              <w:bottom w:val="single" w:color="E2CF9C" w:sz="4"/>
              <w:right w:val="single" w:color="E2CF9C" w:sz="4"/>
            </w:tcBorders>
            <w:shd w:fill="FBF6E9" w:color="auto" w:val="clear"/>
            <w:tcMar>
              <w:top w:type="dxa" w:w="60"/>
              <w:left w:type="dxa" w:w="160"/>
              <w:bottom w:type="dxa" w:w="60"/>
              <w:right w:type="dxa" w:w="160"/>
            </w:tcMar>
            <w:vAlign w:val="center"/>
          </w:tcPr>
          <w:p>
            <w:pPr>
              <w:bidi/>
              <w:spacing w:after="0" w:before="0" w:line="300" w:lineRule="auto"/>
              <w:jc w:val="right"/>
            </w:pPr>
            <w:r>
              <w:rPr>
                <w:rFonts w:ascii="Traditional Arabic" w:cs="Traditional Arabic" w:eastAsia="Traditional Arabic" w:hAnsi="Traditional Arabic"/>
                <w:color w:val="2B2416"/>
                <w:sz w:val="28"/>
                <w:szCs w:val="28"/>
                <w:rtl/>
              </w:rPr>
              <w:t xml:space="preserve">مقبرة تمير بجوار أقاربه، بوصية منه</w:t>
            </w:r>
          </w:p>
        </w:tc>
      </w:tr>
      <w:tr>
        <w:trPr>
          <w:cantSplit/>
        </w:trPr>
        <w:tc>
          <w:tcPr>
            <w:tcW w:type="dxa" w:w="2300"/>
            <w:tcBorders>
              <w:top w:val="single" w:color="E2CF9C" w:sz="4"/>
              <w:left w:val="single" w:color="E2CF9C" w:sz="4"/>
              <w:bottom w:val="single" w:color="E2CF9C" w:sz="4"/>
              <w:right w:val="single" w:color="E2CF9C" w:sz="4"/>
            </w:tcBorders>
            <w:shd w:fill="0F3B2E" w:color="auto" w:val="clear"/>
            <w:tcMar>
              <w:top w:type="dxa" w:w="60"/>
              <w:left w:type="dxa" w:w="140"/>
              <w:bottom w:type="dxa" w:w="60"/>
              <w:right w:type="dxa" w:w="140"/>
            </w:tcMar>
            <w:vAlign w:val="center"/>
          </w:tcPr>
          <w:p>
            <w:pPr>
              <w:bidi/>
              <w:spacing w:after="0" w:before="0" w:line="300" w:lineRule="auto"/>
              <w:jc w:val="right"/>
            </w:pPr>
            <w:r>
              <w:rPr>
                <w:rFonts w:ascii="Traditional Arabic" w:cs="Traditional Arabic" w:eastAsia="Traditional Arabic" w:hAnsi="Traditional Arabic"/>
                <w:b/>
                <w:bCs/>
                <w:color w:val="F6E7B8"/>
                <w:sz w:val="28"/>
                <w:szCs w:val="28"/>
                <w:rtl/>
              </w:rPr>
              <w:t xml:space="preserve">زوجته</w:t>
            </w:r>
          </w:p>
        </w:tc>
        <w:tc>
          <w:tcPr>
            <w:tcW w:type="dxa" w:w="6726"/>
            <w:tcBorders>
              <w:top w:val="single" w:color="E2CF9C" w:sz="4"/>
              <w:left w:val="single" w:color="E2CF9C" w:sz="4"/>
              <w:bottom w:val="single" w:color="E2CF9C" w:sz="4"/>
              <w:right w:val="single" w:color="E2CF9C" w:sz="4"/>
            </w:tcBorders>
            <w:shd w:fill="FFFFFF" w:color="auto" w:val="clear"/>
            <w:tcMar>
              <w:top w:type="dxa" w:w="60"/>
              <w:left w:type="dxa" w:w="160"/>
              <w:bottom w:type="dxa" w:w="60"/>
              <w:right w:type="dxa" w:w="160"/>
            </w:tcMar>
            <w:vAlign w:val="center"/>
          </w:tcPr>
          <w:p>
            <w:pPr>
              <w:bidi/>
              <w:spacing w:after="0" w:before="0" w:line="300" w:lineRule="auto"/>
              <w:jc w:val="right"/>
            </w:pPr>
            <w:r>
              <w:rPr>
                <w:rFonts w:ascii="Traditional Arabic" w:cs="Traditional Arabic" w:eastAsia="Traditional Arabic" w:hAnsi="Traditional Arabic"/>
                <w:color w:val="2B2416"/>
                <w:sz w:val="28"/>
                <w:szCs w:val="28"/>
                <w:rtl/>
              </w:rPr>
              <w:t xml:space="preserve">شيخة بنت حمد العبدالوهاب أبابطين</w:t>
            </w:r>
          </w:p>
        </w:tc>
      </w:tr>
      <w:tr>
        <w:trPr>
          <w:cantSplit/>
        </w:trPr>
        <w:tc>
          <w:tcPr>
            <w:tcW w:type="dxa" w:w="2300"/>
            <w:tcBorders>
              <w:top w:val="single" w:color="E2CF9C" w:sz="4"/>
              <w:left w:val="single" w:color="E2CF9C" w:sz="4"/>
              <w:bottom w:val="single" w:color="E2CF9C" w:sz="4"/>
              <w:right w:val="single" w:color="E2CF9C" w:sz="4"/>
            </w:tcBorders>
            <w:shd w:fill="0F3B2E" w:color="auto" w:val="clear"/>
            <w:tcMar>
              <w:top w:type="dxa" w:w="60"/>
              <w:left w:type="dxa" w:w="140"/>
              <w:bottom w:type="dxa" w:w="60"/>
              <w:right w:type="dxa" w:w="140"/>
            </w:tcMar>
            <w:vAlign w:val="center"/>
          </w:tcPr>
          <w:p>
            <w:pPr>
              <w:bidi/>
              <w:spacing w:after="0" w:before="0" w:line="300" w:lineRule="auto"/>
              <w:jc w:val="right"/>
            </w:pPr>
            <w:r>
              <w:rPr>
                <w:rFonts w:ascii="Traditional Arabic" w:cs="Traditional Arabic" w:eastAsia="Traditional Arabic" w:hAnsi="Traditional Arabic"/>
                <w:b/>
                <w:bCs/>
                <w:color w:val="F6E7B8"/>
                <w:sz w:val="28"/>
                <w:szCs w:val="28"/>
                <w:rtl/>
              </w:rPr>
              <w:t xml:space="preserve">أبناؤه</w:t>
            </w:r>
          </w:p>
        </w:tc>
        <w:tc>
          <w:tcPr>
            <w:tcW w:type="dxa" w:w="6726"/>
            <w:tcBorders>
              <w:top w:val="single" w:color="E2CF9C" w:sz="4"/>
              <w:left w:val="single" w:color="E2CF9C" w:sz="4"/>
              <w:bottom w:val="single" w:color="E2CF9C" w:sz="4"/>
              <w:right w:val="single" w:color="E2CF9C" w:sz="4"/>
            </w:tcBorders>
            <w:shd w:fill="FBF6E9" w:color="auto" w:val="clear"/>
            <w:tcMar>
              <w:top w:type="dxa" w:w="60"/>
              <w:left w:type="dxa" w:w="160"/>
              <w:bottom w:type="dxa" w:w="60"/>
              <w:right w:type="dxa" w:w="160"/>
            </w:tcMar>
            <w:vAlign w:val="center"/>
          </w:tcPr>
          <w:p>
            <w:pPr>
              <w:bidi/>
              <w:spacing w:after="0" w:before="0" w:line="300" w:lineRule="auto"/>
              <w:jc w:val="right"/>
            </w:pPr>
            <w:r>
              <w:rPr>
                <w:rFonts w:ascii="Traditional Arabic" w:cs="Traditional Arabic" w:eastAsia="Traditional Arabic" w:hAnsi="Traditional Arabic"/>
                <w:color w:val="2B2416"/>
                <w:sz w:val="28"/>
                <w:szCs w:val="28"/>
                <w:rtl/>
              </w:rPr>
              <w:t xml:space="preserve">منصور، وبدر، وأسماء، وإيمان، وبدرية، وزينب، وميمونة، وهيا، ووحيدة</w:t>
            </w:r>
          </w:p>
        </w:tc>
      </w:tr>
    </w:tbl>
    <w:p>
      <w:pPr>
        <w:keepNext/>
        <w:pBdr>
          <w:bottom w:val="single" w:color="B8913A" w:sz="12" w:space="4"/>
        </w:pBdr>
        <w:bidi/>
        <w:spacing w:after="140" w:before="300"/>
        <w:jc w:val="right"/>
      </w:pPr>
      <w:r>
        <w:rPr>
          <w:rFonts w:ascii="Traditional Arabic" w:cs="Traditional Arabic" w:eastAsia="Traditional Arabic" w:hAnsi="Traditional Arabic"/>
          <w:color w:val="B8913A"/>
          <w:sz w:val="30"/>
          <w:szCs w:val="30"/>
          <w:rtl/>
        </w:rPr>
        <w:t xml:space="preserve">◆ </w:t>
      </w:r>
      <w:r>
        <w:rPr>
          <w:rFonts w:ascii="Traditional Arabic" w:cs="Traditional Arabic" w:eastAsia="Traditional Arabic" w:hAnsi="Traditional Arabic"/>
          <w:b/>
          <w:bCs/>
          <w:color w:val="0F3B2E"/>
          <w:sz w:val="40"/>
          <w:szCs w:val="40"/>
          <w:rtl/>
        </w:rPr>
        <w:t xml:space="preserve">مولده ونسبه</w:t>
      </w:r>
    </w:p>
    <w:p>
      <w:pPr>
        <w:bidi/>
        <w:spacing w:after="120" w:before="0" w:line="340" w:lineRule="auto"/>
        <w:jc w:val="both"/>
      </w:pPr>
      <w:r>
        <w:rPr>
          <w:rFonts w:ascii="Traditional Arabic" w:cs="Traditional Arabic" w:eastAsia="Traditional Arabic" w:hAnsi="Traditional Arabic"/>
          <w:color w:val="2B2416"/>
          <w:sz w:val="30"/>
          <w:szCs w:val="30"/>
          <w:rtl/>
        </w:rPr>
        <w:t xml:space="preserve">هو العالم الجليل والأستاذ الفاضل الشيخ عثمان بن منصور بن عبدالرحمن بن عثمان البرغش الوهيبي الحنظلي التميمي. وُلد في بلدة آبائه وأجداده تمير نحو عام ١٣٤٦هـ، ونشأ فيها في كنف والديه؛ فوالده منصور بن عبدالرحمن البرغش، ووالدته هيا بنت عثمان بن محمد المبارك، الملقب بـ«الرقيبة»، من أسرة المنيعات العمروية التميمية.</w:t>
      </w:r>
    </w:p>
    <w:p>
      <w:pPr>
        <w:keepNext/>
        <w:pBdr>
          <w:bottom w:val="single" w:color="B8913A" w:sz="12" w:space="4"/>
        </w:pBdr>
        <w:bidi/>
        <w:spacing w:after="140" w:before="300"/>
        <w:jc w:val="right"/>
      </w:pPr>
      <w:r>
        <w:rPr>
          <w:rFonts w:ascii="Traditional Arabic" w:cs="Traditional Arabic" w:eastAsia="Traditional Arabic" w:hAnsi="Traditional Arabic"/>
          <w:color w:val="B8913A"/>
          <w:sz w:val="30"/>
          <w:szCs w:val="30"/>
          <w:rtl/>
        </w:rPr>
        <w:t xml:space="preserve">◆ </w:t>
      </w:r>
      <w:r>
        <w:rPr>
          <w:rFonts w:ascii="Traditional Arabic" w:cs="Traditional Arabic" w:eastAsia="Traditional Arabic" w:hAnsi="Traditional Arabic"/>
          <w:b/>
          <w:bCs/>
          <w:color w:val="0F3B2E"/>
          <w:sz w:val="40"/>
          <w:szCs w:val="40"/>
          <w:rtl/>
        </w:rPr>
        <w:t xml:space="preserve">تعليمه</w:t>
      </w:r>
    </w:p>
    <w:p>
      <w:pPr>
        <w:bidi/>
        <w:spacing w:after="120" w:before="0" w:line="340" w:lineRule="auto"/>
        <w:jc w:val="both"/>
      </w:pPr>
      <w:r>
        <w:rPr>
          <w:rFonts w:ascii="Traditional Arabic" w:cs="Traditional Arabic" w:eastAsia="Traditional Arabic" w:hAnsi="Traditional Arabic"/>
          <w:color w:val="2B2416"/>
          <w:sz w:val="30"/>
          <w:szCs w:val="30"/>
          <w:rtl/>
        </w:rPr>
        <w:t xml:space="preserve">نشأ الشيخ عثمان نشأةً صالحة، فقرأ القرآن الكريم في تمير، وتلقى فيها مبادئ القراءة والكتابة. ثم رحل إلى الرياض، ولازم علماءها بجد واجتهاد ومثابرة في طلب العلم، وتتلمذ على سماحة الشيخ محمد بن إبراهيم آل الشيخ في مدرسة رباط الإخوان. وعندما افتُتح المعهد العلمي التحق به وتخرج فيه، ثم انتظم في كلية الشريعة وتخرج منها بتفوق. وكان من زملائه سماحة المفتي الشيخ عبدالعزيز بن عبدالله آل الشيخ.</w:t>
      </w:r>
    </w:p>
    <w:p>
      <w:pPr>
        <w:bidi/>
        <w:spacing w:after="120" w:before="0" w:line="340" w:lineRule="auto"/>
        <w:jc w:val="both"/>
      </w:pPr>
      <w:r>
        <w:rPr>
          <w:rFonts w:ascii="Traditional Arabic" w:cs="Traditional Arabic" w:eastAsia="Traditional Arabic" w:hAnsi="Traditional Arabic"/>
          <w:color w:val="2B2416"/>
          <w:sz w:val="30"/>
          <w:szCs w:val="30"/>
          <w:rtl/>
        </w:rPr>
        <w:t xml:space="preserve">وبعد تخرجه عمل في مجال التعليم مدةً من الزمن، ثم انتقل إلى عنيزة وأقام فيها سنوات عديدة، مواصلاً مسيرته العلمية والتعليمية.</w:t>
      </w:r>
    </w:p>
    <w:p>
      <w:pPr>
        <w:keepNext/>
        <w:pBdr>
          <w:bottom w:val="single" w:color="B8913A" w:sz="12" w:space="4"/>
        </w:pBdr>
        <w:bidi/>
        <w:spacing w:after="140" w:before="300"/>
        <w:jc w:val="right"/>
      </w:pPr>
      <w:r>
        <w:rPr>
          <w:rFonts w:ascii="Traditional Arabic" w:cs="Traditional Arabic" w:eastAsia="Traditional Arabic" w:hAnsi="Traditional Arabic"/>
          <w:color w:val="B8913A"/>
          <w:sz w:val="30"/>
          <w:szCs w:val="30"/>
          <w:rtl/>
        </w:rPr>
        <w:t xml:space="preserve">◆ </w:t>
      </w:r>
      <w:r>
        <w:rPr>
          <w:rFonts w:ascii="Traditional Arabic" w:cs="Traditional Arabic" w:eastAsia="Traditional Arabic" w:hAnsi="Traditional Arabic"/>
          <w:b/>
          <w:bCs/>
          <w:color w:val="0F3B2E"/>
          <w:sz w:val="40"/>
          <w:szCs w:val="40"/>
          <w:rtl/>
        </w:rPr>
        <w:t xml:space="preserve">أعماله وصفاته</w:t>
      </w:r>
    </w:p>
    <w:p>
      <w:pPr>
        <w:bidi/>
        <w:spacing w:after="120" w:before="0" w:line="340" w:lineRule="auto"/>
        <w:jc w:val="both"/>
      </w:pPr>
      <w:r>
        <w:rPr>
          <w:rFonts w:ascii="Traditional Arabic" w:cs="Traditional Arabic" w:eastAsia="Traditional Arabic" w:hAnsi="Traditional Arabic"/>
          <w:color w:val="2B2416"/>
          <w:sz w:val="30"/>
          <w:szCs w:val="30"/>
          <w:rtl/>
        </w:rPr>
        <w:t xml:space="preserve">عُيّن مدرسًا لتحفيظ القرآن الكريم والعلوم الشرعية، واستمر في أداء رسالته التعليمية حتى تقاعد، ثم تفرغ للعبادة ونفع الناس. وكان من جماعة مسجد خمار مدةً من الزمن، وقبل ذلك في مسجد الجعيفري، ثم سكن في حي سلطان.</w:t>
      </w:r>
    </w:p>
    <w:p>
      <w:pPr>
        <w:keepNext/>
        <w:bidi/>
        <w:spacing w:after="60" w:before="0" w:line="340" w:lineRule="auto"/>
        <w:jc w:val="both"/>
      </w:pPr>
      <w:r>
        <w:rPr>
          <w:rFonts w:ascii="Traditional Arabic" w:cs="Traditional Arabic" w:eastAsia="Traditional Arabic" w:hAnsi="Traditional Arabic"/>
          <w:color w:val="2B2416"/>
          <w:sz w:val="30"/>
          <w:szCs w:val="30"/>
          <w:rtl/>
        </w:rPr>
        <w:t xml:space="preserve">وعُرف رحمه الله بـ:</w:t>
      </w:r>
    </w:p>
    <w:p>
      <w:pPr>
        <w:pStyle w:val="ListParagraph"/>
        <w:numPr>
          <w:ilvl w:val="0"/>
          <w:numId w:val="2"/>
        </w:numPr>
        <w:bidi/>
        <w:spacing w:after="60" w:before="0" w:line="340" w:lineRule="auto"/>
        <w:jc w:val="right"/>
      </w:pPr>
      <w:r>
        <w:rPr>
          <w:rFonts w:ascii="Traditional Arabic" w:cs="Traditional Arabic" w:eastAsia="Traditional Arabic" w:hAnsi="Traditional Arabic"/>
          <w:color w:val="2B2416"/>
          <w:sz w:val="30"/>
          <w:szCs w:val="30"/>
          <w:rtl/>
        </w:rPr>
        <w:t xml:space="preserve">سعة الاطلاع في العلوم الشرعية.</w:t>
      </w:r>
    </w:p>
    <w:p>
      <w:pPr>
        <w:pStyle w:val="ListParagraph"/>
        <w:numPr>
          <w:ilvl w:val="0"/>
          <w:numId w:val="2"/>
        </w:numPr>
        <w:bidi/>
        <w:spacing w:after="60" w:before="0" w:line="340" w:lineRule="auto"/>
        <w:jc w:val="right"/>
      </w:pPr>
      <w:r>
        <w:rPr>
          <w:rFonts w:ascii="Traditional Arabic" w:cs="Traditional Arabic" w:eastAsia="Traditional Arabic" w:hAnsi="Traditional Arabic"/>
          <w:color w:val="2B2416"/>
          <w:sz w:val="30"/>
          <w:szCs w:val="30"/>
          <w:rtl/>
        </w:rPr>
        <w:t xml:space="preserve">حسن الخلق وطيب المعشر.</w:t>
      </w:r>
    </w:p>
    <w:p>
      <w:pPr>
        <w:pStyle w:val="ListParagraph"/>
        <w:numPr>
          <w:ilvl w:val="0"/>
          <w:numId w:val="2"/>
        </w:numPr>
        <w:bidi/>
        <w:spacing w:after="60" w:before="0" w:line="340" w:lineRule="auto"/>
        <w:jc w:val="right"/>
      </w:pPr>
      <w:r>
        <w:rPr>
          <w:rFonts w:ascii="Traditional Arabic" w:cs="Traditional Arabic" w:eastAsia="Traditional Arabic" w:hAnsi="Traditional Arabic"/>
          <w:color w:val="2B2416"/>
          <w:sz w:val="30"/>
          <w:szCs w:val="30"/>
          <w:rtl/>
        </w:rPr>
        <w:t xml:space="preserve">التواضع وكريم الصفات.</w:t>
      </w:r>
    </w:p>
    <w:p>
      <w:pPr>
        <w:bidi/>
        <w:spacing w:after="120" w:before="60" w:line="340" w:lineRule="auto"/>
        <w:jc w:val="both"/>
      </w:pPr>
      <w:r>
        <w:rPr>
          <w:rFonts w:ascii="Traditional Arabic" w:cs="Traditional Arabic" w:eastAsia="Traditional Arabic" w:hAnsi="Traditional Arabic"/>
          <w:color w:val="2B2416"/>
          <w:sz w:val="30"/>
          <w:szCs w:val="30"/>
          <w:rtl/>
        </w:rPr>
        <w:t xml:space="preserve">فكان محل تقدير ومحبة من عرفه.</w:t>
      </w:r>
    </w:p>
    <w:p>
      <w:pPr>
        <w:keepNext/>
        <w:pBdr>
          <w:bottom w:val="single" w:color="B8913A" w:sz="12" w:space="4"/>
        </w:pBdr>
        <w:bidi/>
        <w:spacing w:after="140" w:before="300"/>
        <w:jc w:val="right"/>
      </w:pPr>
      <w:r>
        <w:rPr>
          <w:rFonts w:ascii="Traditional Arabic" w:cs="Traditional Arabic" w:eastAsia="Traditional Arabic" w:hAnsi="Traditional Arabic"/>
          <w:color w:val="B8913A"/>
          <w:sz w:val="30"/>
          <w:szCs w:val="30"/>
          <w:rtl/>
        </w:rPr>
        <w:t xml:space="preserve">◆ </w:t>
      </w:r>
      <w:r>
        <w:rPr>
          <w:rFonts w:ascii="Traditional Arabic" w:cs="Traditional Arabic" w:eastAsia="Traditional Arabic" w:hAnsi="Traditional Arabic"/>
          <w:b/>
          <w:bCs/>
          <w:color w:val="0F3B2E"/>
          <w:sz w:val="40"/>
          <w:szCs w:val="40"/>
          <w:rtl/>
        </w:rPr>
        <w:t xml:space="preserve">وفاته</w:t>
      </w:r>
    </w:p>
    <w:p>
      <w:pPr>
        <w:bidi/>
        <w:spacing w:after="120" w:before="0" w:line="340" w:lineRule="auto"/>
        <w:jc w:val="both"/>
      </w:pPr>
      <w:r>
        <w:rPr>
          <w:rFonts w:ascii="Traditional Arabic" w:cs="Traditional Arabic" w:eastAsia="Traditional Arabic" w:hAnsi="Traditional Arabic"/>
          <w:color w:val="2B2416"/>
          <w:sz w:val="30"/>
          <w:szCs w:val="30"/>
          <w:rtl/>
        </w:rPr>
        <w:t xml:space="preserve">في أواخر حياته توالت عليه الأمراض، حتى وافاه الأجل المحتوم يوم الأحد الموافق ٢ شعبان ١٤٣٦هـ، في مستشفى الملك فيصل التخصصي بالرياض. وكان قد أوصى أن يُدفن في مقبرة تمير بجوار أقاربه، فصُلّي عليه في تمير، ودُفن فيها، رحمه الله رحمة واسعة، وغفر له، وأسكنه فسيح جناته.</w:t>
      </w:r>
    </w:p>
    <w:p>
      <w:pPr>
        <w:keepNext/>
        <w:pBdr>
          <w:bottom w:val="single" w:color="B8913A" w:sz="12" w:space="4"/>
        </w:pBdr>
        <w:bidi/>
        <w:spacing w:after="140" w:before="300"/>
        <w:jc w:val="right"/>
      </w:pPr>
      <w:r>
        <w:rPr>
          <w:rFonts w:ascii="Traditional Arabic" w:cs="Traditional Arabic" w:eastAsia="Traditional Arabic" w:hAnsi="Traditional Arabic"/>
          <w:color w:val="B8913A"/>
          <w:sz w:val="30"/>
          <w:szCs w:val="30"/>
          <w:rtl/>
        </w:rPr>
        <w:t xml:space="preserve">◆ </w:t>
      </w:r>
      <w:r>
        <w:rPr>
          <w:rFonts w:ascii="Traditional Arabic" w:cs="Traditional Arabic" w:eastAsia="Traditional Arabic" w:hAnsi="Traditional Arabic"/>
          <w:b/>
          <w:bCs/>
          <w:color w:val="0F3B2E"/>
          <w:sz w:val="40"/>
          <w:szCs w:val="40"/>
          <w:rtl/>
        </w:rPr>
        <w:t xml:space="preserve">أبناؤه</w:t>
      </w:r>
    </w:p>
    <w:p>
      <w:pPr>
        <w:bidi/>
        <w:spacing w:after="120" w:before="0" w:line="340" w:lineRule="auto"/>
        <w:jc w:val="both"/>
      </w:pPr>
      <w:r>
        <w:rPr>
          <w:rFonts w:ascii="Traditional Arabic" w:cs="Traditional Arabic" w:eastAsia="Traditional Arabic" w:hAnsi="Traditional Arabic"/>
          <w:color w:val="2B2416"/>
          <w:sz w:val="30"/>
          <w:szCs w:val="30"/>
          <w:rtl/>
        </w:rPr>
        <w:t xml:space="preserve">تزوج من شيخة بنت حمد العبدالوهاب أبابطين، ورُزق منها:</w:t>
      </w:r>
    </w:p>
    <w:p>
      <w:pPr>
        <w:bidi/>
        <w:spacing w:after="200" w:before="0" w:line="340" w:lineRule="auto"/>
        <w:jc w:val="center"/>
      </w:pPr>
      <w:r>
        <w:rPr>
          <w:rFonts w:ascii="Traditional Arabic" w:cs="Traditional Arabic" w:eastAsia="Traditional Arabic" w:hAnsi="Traditional Arabic"/>
          <w:b/>
          <w:bCs/>
          <w:color w:val="0F3B2E"/>
          <w:sz w:val="30"/>
          <w:szCs w:val="30"/>
          <w:rtl/>
        </w:rPr>
        <w:t xml:space="preserve">منصور  •  بدر  •  أسماء  •  إيمان  •  بدرية  •  زينب  •  ميمونة  •  هيا  •  وحيدة</w:t>
      </w:r>
    </w:p>
    <w:p>
      <w:pPr>
        <w:bidi/>
      </w:pPr>
      <w:r>
        <w:br w:type="page"/>
      </w:r>
    </w:p>
    <w:p>
      <w:pPr>
        <w:keepNext/>
        <w:pBdr>
          <w:bottom w:val="single" w:color="B8913A" w:sz="12" w:space="4"/>
        </w:pBdr>
        <w:bidi/>
        <w:spacing w:after="140" w:before="300"/>
        <w:jc w:val="right"/>
      </w:pPr>
      <w:r>
        <w:rPr>
          <w:rFonts w:ascii="Traditional Arabic" w:cs="Traditional Arabic" w:eastAsia="Traditional Arabic" w:hAnsi="Traditional Arabic"/>
          <w:color w:val="B8913A"/>
          <w:sz w:val="30"/>
          <w:szCs w:val="30"/>
          <w:rtl/>
        </w:rPr>
        <w:t xml:space="preserve">◆ </w:t>
      </w:r>
      <w:r>
        <w:rPr>
          <w:rFonts w:ascii="Traditional Arabic" w:cs="Traditional Arabic" w:eastAsia="Traditional Arabic" w:hAnsi="Traditional Arabic"/>
          <w:b/>
          <w:bCs/>
          <w:color w:val="0F3B2E"/>
          <w:sz w:val="40"/>
          <w:szCs w:val="40"/>
          <w:rtl/>
        </w:rPr>
        <w:t xml:space="preserve">السيرة في صورة</w:t>
      </w:r>
    </w:p>
    <w:p>
      <w:pPr>
        <w:bidi/>
        <w:spacing w:after="0" w:before="0"/>
        <w:jc w:val="center"/>
      </w:pPr>
      <w:r>
        <w:drawing>
          <wp:inline distT="0" distB="0" distL="0" distR="0">
            <wp:extent cx="4953000" cy="747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7477125"/>
                    </a:xfrm>
                    <a:prstGeom prst="rect">
                      <a:avLst/>
                    </a:prstGeom>
                  </pic:spPr>
                </pic:pic>
              </a:graphicData>
            </a:graphic>
          </wp:inline>
        </w:drawing>
      </w:r>
    </w:p>
    <w:p>
      <w:pPr>
        <w:bidi/>
      </w:pPr>
      <w:r>
        <w:br w:type="page"/>
      </w:r>
    </w:p>
    <w:p>
      <w:pPr>
        <w:keepNext/>
        <w:pBdr>
          <w:bottom w:val="single" w:color="B8913A" w:sz="12" w:space="4"/>
        </w:pBdr>
        <w:bidi/>
        <w:spacing w:after="140" w:before="300"/>
        <w:jc w:val="right"/>
      </w:pPr>
      <w:r>
        <w:rPr>
          <w:rFonts w:ascii="Traditional Arabic" w:cs="Traditional Arabic" w:eastAsia="Traditional Arabic" w:hAnsi="Traditional Arabic"/>
          <w:color w:val="B8913A"/>
          <w:sz w:val="30"/>
          <w:szCs w:val="30"/>
          <w:rtl/>
        </w:rPr>
        <w:t xml:space="preserve">◆ </w:t>
      </w:r>
      <w:r>
        <w:rPr>
          <w:rFonts w:ascii="Traditional Arabic" w:cs="Traditional Arabic" w:eastAsia="Traditional Arabic" w:hAnsi="Traditional Arabic"/>
          <w:b/>
          <w:bCs/>
          <w:color w:val="0F3B2E"/>
          <w:sz w:val="40"/>
          <w:szCs w:val="40"/>
          <w:rtl/>
        </w:rPr>
        <w:t xml:space="preserve">المراجع</w:t>
      </w:r>
    </w:p>
    <w:p>
      <w:pPr>
        <w:bidi/>
        <w:spacing w:after="120" w:before="0" w:line="340" w:lineRule="auto"/>
        <w:jc w:val="right"/>
      </w:pPr>
      <w:r>
        <w:rPr>
          <w:rFonts w:ascii="Traditional Arabic" w:cs="Traditional Arabic" w:eastAsia="Traditional Arabic" w:hAnsi="Traditional Arabic"/>
          <w:b/>
          <w:bCs/>
          <w:color w:val="B8913A"/>
          <w:sz w:val="30"/>
          <w:szCs w:val="30"/>
          <w:rtl/>
        </w:rPr>
        <w:t xml:space="preserve">١. </w:t>
      </w:r>
      <w:r>
        <w:rPr>
          <w:rFonts w:ascii="Traditional Arabic" w:cs="Traditional Arabic" w:eastAsia="Traditional Arabic" w:hAnsi="Traditional Arabic"/>
          <w:color w:val="2B2416"/>
          <w:sz w:val="30"/>
          <w:szCs w:val="30"/>
          <w:rtl/>
        </w:rPr>
        <w:t xml:space="preserve">محمد بن عثمان القاضي، </w:t>
      </w:r>
      <w:r>
        <w:rPr>
          <w:rFonts w:ascii="Traditional Arabic" w:cs="Traditional Arabic" w:eastAsia="Traditional Arabic" w:hAnsi="Traditional Arabic"/>
          <w:b/>
          <w:bCs/>
          <w:color w:val="2B2416"/>
          <w:sz w:val="30"/>
          <w:szCs w:val="30"/>
          <w:rtl/>
        </w:rPr>
        <w:t xml:space="preserve">روضة الناظرين عن مآثر علماء نجد وحوادث السنين</w:t>
      </w:r>
      <w:r>
        <w:rPr>
          <w:rFonts w:ascii="Traditional Arabic" w:cs="Traditional Arabic" w:eastAsia="Traditional Arabic" w:hAnsi="Traditional Arabic"/>
          <w:color w:val="2B2416"/>
          <w:sz w:val="30"/>
          <w:szCs w:val="30"/>
          <w:rtl/>
        </w:rPr>
        <w:t xml:space="preserve">، الجزء الرابع، الترجمة رقم (١٨٦).</w:t>
      </w:r>
    </w:p>
    <w:p>
      <w:pPr>
        <w:bidi/>
        <w:spacing w:after="120" w:before="0" w:line="340" w:lineRule="auto"/>
        <w:jc w:val="right"/>
      </w:pPr>
      <w:r>
        <w:rPr>
          <w:rFonts w:ascii="Traditional Arabic" w:cs="Traditional Arabic" w:eastAsia="Traditional Arabic" w:hAnsi="Traditional Arabic"/>
          <w:b/>
          <w:bCs/>
          <w:color w:val="B8913A"/>
          <w:sz w:val="30"/>
          <w:szCs w:val="30"/>
          <w:rtl/>
        </w:rPr>
        <w:t xml:space="preserve">٢. </w:t>
      </w:r>
      <w:r>
        <w:rPr>
          <w:rFonts w:ascii="Traditional Arabic" w:cs="Traditional Arabic" w:eastAsia="Traditional Arabic" w:hAnsi="Traditional Arabic"/>
          <w:color w:val="2B2416"/>
          <w:sz w:val="30"/>
          <w:szCs w:val="30"/>
          <w:rtl/>
        </w:rPr>
        <w:t xml:space="preserve">إفادات ابنه الأستاذ منصور بن عثمان البرغش.</w:t>
      </w:r>
    </w:p>
    <w:p>
      <w:pPr>
        <w:bidi/>
        <w:spacing w:after="120" w:before="0" w:line="340" w:lineRule="auto"/>
        <w:jc w:val="center"/>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vAlign w:val="bottom"/>
          </w:tcPr>
          <w:p>
            <w:pPr>
              <w:bidi/>
              <w:spacing w:after="60" w:before="0"/>
              <w:jc w:val="center"/>
            </w:pPr>
            <w:r>
              <w:drawing>
                <wp:inline distT="0" distB="0" distL="0" distR="0">
                  <wp:extent cx="1905000" cy="3524250"/>
                  <wp:effectExtent t="38100" r="38100" b="38100" l="3810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905000" cy="3524250"/>
                          </a:xfrm>
                          <a:prstGeom prst="rect">
                            <a:avLst/>
                          </a:prstGeom>
                          <a:noFill/>
                          <a:ln w="19050">
                            <a:solidFill>
                              <a:srgbClr val="B8913A"/>
                            </a:solidFill>
                          </a:ln>
                        </pic:spPr>
                      </pic:pic>
                    </a:graphicData>
                  </a:graphic>
                </wp:inline>
              </w:drawing>
            </w:r>
          </w:p>
          <w:p>
            <w:pPr>
              <w:bidi/>
              <w:spacing w:after="0" w:before="0" w:line="340" w:lineRule="auto"/>
              <w:jc w:val="center"/>
            </w:pPr>
            <w:r>
              <w:rPr>
                <w:rFonts w:ascii="Traditional Arabic" w:cs="Traditional Arabic" w:eastAsia="Traditional Arabic" w:hAnsi="Traditional Arabic"/>
                <w:i/>
                <w:iCs/>
                <w:color w:val="5A4A2A"/>
                <w:sz w:val="24"/>
                <w:szCs w:val="24"/>
                <w:rtl/>
              </w:rPr>
              <w:t xml:space="preserve">غلاف كتاب روضة الناظرين</w:t>
            </w:r>
          </w:p>
        </w:tc>
        <w:tc>
          <w:tcPr>
            <w:tcW w:type="dxa" w:w="4513"/>
            <w:tcBorders>
              <w:top w:val="none" w:color="FFFFFF" w:sz="0"/>
              <w:left w:val="none" w:color="FFFFFF" w:sz="0"/>
              <w:bottom w:val="none" w:color="FFFFFF" w:sz="0"/>
              <w:right w:val="none" w:color="FFFFFF" w:sz="0"/>
            </w:tcBorders>
            <w:vAlign w:val="bottom"/>
          </w:tcPr>
          <w:p>
            <w:pPr>
              <w:bidi/>
              <w:spacing w:after="60" w:before="0"/>
              <w:jc w:val="center"/>
            </w:pPr>
            <w:r>
              <w:drawing>
                <wp:inline distT="0" distB="0" distL="0" distR="0">
                  <wp:extent cx="2476500" cy="3048000"/>
                  <wp:effectExtent t="38100" r="38100" b="38100" l="3810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476500" cy="3048000"/>
                          </a:xfrm>
                          <a:prstGeom prst="rect">
                            <a:avLst/>
                          </a:prstGeom>
                          <a:noFill/>
                          <a:ln w="19050">
                            <a:solidFill>
                              <a:srgbClr val="B8913A"/>
                            </a:solidFill>
                          </a:ln>
                        </pic:spPr>
                      </pic:pic>
                    </a:graphicData>
                  </a:graphic>
                </wp:inline>
              </w:drawing>
            </w:r>
          </w:p>
          <w:p>
            <w:pPr>
              <w:bidi/>
              <w:spacing w:after="0" w:before="0" w:line="340" w:lineRule="auto"/>
              <w:jc w:val="center"/>
            </w:pPr>
            <w:r>
              <w:rPr>
                <w:rFonts w:ascii="Traditional Arabic" w:cs="Traditional Arabic" w:eastAsia="Traditional Arabic" w:hAnsi="Traditional Arabic"/>
                <w:i/>
                <w:iCs/>
                <w:color w:val="5A4A2A"/>
                <w:sz w:val="24"/>
                <w:szCs w:val="24"/>
                <w:rtl/>
              </w:rPr>
              <w:t xml:space="preserve">ترجمته في الكتاب (رقم ١٨٦)</w:t>
            </w:r>
          </w:p>
        </w:tc>
      </w:tr>
    </w:tbl>
    <w:p>
      <w:pPr>
        <w:bidi/>
        <w:spacing w:after="240" w:before="0" w:line="340" w:lineRule="auto"/>
        <w:jc w:val="center"/>
      </w:pPr>
    </w:p>
    <w:p>
      <w:pPr>
        <w:bidi/>
        <w:spacing w:after="160" w:before="80" w:line="340" w:lineRule="auto"/>
        <w:jc w:val="center"/>
      </w:pPr>
      <w:r>
        <w:rPr>
          <w:rFonts w:ascii="Traditional Arabic" w:cs="Traditional Arabic" w:eastAsia="Traditional Arabic" w:hAnsi="Traditional Arabic"/>
          <w:color w:val="B8913A"/>
          <w:sz w:val="24"/>
          <w:szCs w:val="24"/>
          <w:rtl/>
        </w:rPr>
        <w:t xml:space="preserve">❖  ❖  ❖</w:t>
      </w:r>
    </w:p>
    <w:p>
      <w:pPr>
        <w:bidi/>
        <w:spacing w:after="120" w:before="0" w:line="340" w:lineRule="auto"/>
        <w:jc w:val="center"/>
      </w:pPr>
      <w:r>
        <w:rPr>
          <w:rFonts w:ascii="Traditional Arabic" w:cs="Traditional Arabic" w:eastAsia="Traditional Arabic" w:hAnsi="Traditional Arabic"/>
          <w:b/>
          <w:bCs/>
          <w:color w:val="0F3B2E"/>
          <w:sz w:val="36"/>
          <w:szCs w:val="36"/>
          <w:rtl/>
        </w:rPr>
        <w:t xml:space="preserve">رحمه الله رحمة واسعة، وغفر له، وأسكنه فسيح جناته</w:t>
      </w:r>
    </w:p>
    <w:sectPr>
      <w:headerReference w:type="default" r:id="rId7"/>
      <w:headerReference w:type="first" r:id="rId8"/>
      <w:footerReference w:type="default" r:id="rId9"/>
      <w:footerReference w:type="first" r:id="rId10"/>
      <w:pgSz w:w="11906" w:h="16838" w:orient="portrait"/>
      <w:pgMar w:top="1300" w:right="1440" w:bottom="1200" w:left="1440" w:header="708" w:footer="708" w:gutter="0"/>
      <w:pgBorders>
        <w:top w:val="double" w:color="B8913A" w:sz="6" w:space="18"/>
        <w:left w:val="double" w:color="B8913A" w:sz="6" w:space="18"/>
        <w:bottom w:val="double" w:color="B8913A" w:sz="6" w:space="18"/>
        <w:right w:val="double" w:color="B8913A" w:sz="6" w:space="18"/>
      </w:pgBorders>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0F3B2E"/>
        <w:sz w:val="22"/>
        <w:szCs w:val="22"/>
      </w:rPr>
      <w:t xml:space="preserve">— </w:t>
      <w:fldChar w:fldCharType="begin"/>
      <w:instrText xml:space="preserve">PAGE</w:instrText>
      <w:fldChar w:fldCharType="separate"/>
      <w:fldChar w:fldCharType="end"/>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spacing w:after="0" w:before="0" w:line="340" w:lineRule="auto"/>
      <w:jc w:val="center"/>
    </w:pPr>
    <w:r>
      <w:rPr>
        <w:rFonts w:ascii="Traditional Arabic" w:cs="Traditional Arabic" w:eastAsia="Traditional Arabic" w:hAnsi="Traditional Arabic"/>
        <w:color w:val="B8913A"/>
        <w:sz w:val="22"/>
        <w:szCs w:val="22"/>
        <w:rtl/>
      </w:rPr>
      <w:t xml:space="preserve">سيرة الشيخ عثمان بن منصور البرغش رحمه الله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500" w:hanging="300"/>
      </w:pPr>
      <w:rPr>
        <w:color w:val="B8913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aditional Arabic" w:cs="Traditional Arabic" w:eastAsia="Traditional Arabic" w:hAnsi="Traditional Arabic"/>
        <w:sz w:val="30"/>
        <w:szCs w:val="3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95240463126402ecff24d162767a2f7e4f1c7ef0.jpg"/><Relationship Id="rId12" Type="http://schemas.openxmlformats.org/officeDocument/2006/relationships/image" Target="media/688e634bebe60e45acca1f893beca4b4c310f1c2.jpg"/><Relationship Id="rId13" Type="http://schemas.openxmlformats.org/officeDocument/2006/relationships/image" Target="media/ed4c3650358fb14b89712340169aa470fc58d58d.jpg"/><Relationship Id="rId14" Type="http://schemas.openxmlformats.org/officeDocument/2006/relationships/image" Target="media/dfc695505f6209f67eddd87ab3f2ef0fdebb847b.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سيرة الشيخ عثمان بن منصور البرغش</dc:title>
  <dc:creator>خالد بن برغش البرغش</dc:creator>
  <cp:lastModifiedBy>Un-named</cp:lastModifiedBy>
  <cp:revision>1</cp:revision>
  <dcterms:created xsi:type="dcterms:W3CDTF">2026-10-04T12:54:06.898Z</dcterms:created>
  <dcterms:modified xsi:type="dcterms:W3CDTF">2026-10-04T12:54:06.898Z</dcterms:modified>
</cp:coreProperties>
</file>

<file path=docProps/custom.xml><?xml version="1.0" encoding="utf-8"?>
<Properties xmlns="http://schemas.openxmlformats.org/officeDocument/2006/custom-properties" xmlns:vt="http://schemas.openxmlformats.org/officeDocument/2006/docPropsVTypes"/>
</file>