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Fictiva SA — Catalogue produits 2026</w:t>
      </w:r>
    </w:p>
    <w:p>
      <w:pPr>
        <w:pStyle w:val="Subtitle"/>
      </w:pPr>
      <w:r>
        <w:t xml:space="preserve">Extrait — document fictif à usage pédagogique. Prix en CHF hors TVA.</w:t>
      </w:r>
    </w:p>
    <w:bookmarkStart w:id="9" w:name="impression"/>
    <w:p>
      <w:pPr>
        <w:pStyle w:val="Heading1"/>
      </w:pPr>
      <w:r>
        <w:t xml:space="preserve">Impression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Référence</w:t>
            </w:r>
          </w:p>
        </w:tc>
        <w:tc>
          <w:tcPr/>
          <w:p>
            <w:pPr>
              <w:pStyle w:val="Compact"/>
            </w:pPr>
            <w:r>
              <w:t xml:space="preserve">Désignation</w:t>
            </w:r>
          </w:p>
        </w:tc>
        <w:tc>
          <w:tcPr/>
          <w:p>
            <w:pPr>
              <w:pStyle w:val="Compact"/>
            </w:pPr>
            <w:r>
              <w:t xml:space="preserve">Prix HT (CHF)</w:t>
            </w:r>
          </w:p>
        </w:tc>
        <w:tc>
          <w:tcPr/>
          <w:p>
            <w:pPr>
              <w:pStyle w:val="Compact"/>
            </w:pPr>
            <w:r>
              <w:t xml:space="preserve">Caractéristiques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LX-500</w:t>
            </w:r>
          </w:p>
        </w:tc>
        <w:tc>
          <w:tcPr/>
          <w:p>
            <w:pPr>
              <w:pStyle w:val="Compact"/>
            </w:pPr>
            <w:r>
              <w:t xml:space="preserve">Imprimante laser monochrome A4</w:t>
            </w:r>
          </w:p>
        </w:tc>
        <w:tc>
          <w:tcPr/>
          <w:p>
            <w:pPr>
              <w:pStyle w:val="Compact"/>
            </w:pPr>
            <w:r>
              <w:t xml:space="preserve">400.00</w:t>
            </w:r>
          </w:p>
        </w:tc>
        <w:tc>
          <w:tcPr/>
          <w:p>
            <w:pPr>
              <w:pStyle w:val="Compact"/>
            </w:pPr>
            <w:r>
              <w:t xml:space="preserve">40 pages par minute, recto-verso automatique, réseau Ethernet et Wi-Fi ; consommation : 450 W en impression, 1,2 W en veille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TN-500</w:t>
            </w:r>
          </w:p>
        </w:tc>
        <w:tc>
          <w:tcPr/>
          <w:p>
            <w:pPr>
              <w:pStyle w:val="Compact"/>
            </w:pPr>
            <w:r>
              <w:t xml:space="preserve">Toner noir pour LX-500</w:t>
            </w:r>
          </w:p>
        </w:tc>
        <w:tc>
          <w:tcPr/>
          <w:p>
            <w:pPr>
              <w:pStyle w:val="Compact"/>
            </w:pPr>
            <w:r>
              <w:t xml:space="preserve">89.00</w:t>
            </w:r>
          </w:p>
        </w:tc>
        <w:tc>
          <w:tcPr/>
          <w:p>
            <w:pPr>
              <w:pStyle w:val="Compact"/>
            </w:pPr>
            <w:r>
              <w:t xml:space="preserve">Rendement de 6 000 pages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CE-20</w:t>
            </w:r>
          </w:p>
        </w:tc>
        <w:tc>
          <w:tcPr/>
          <w:p>
            <w:pPr>
              <w:pStyle w:val="Compact"/>
            </w:pPr>
            <w:r>
              <w:t xml:space="preserve">Cartouche d’encre couleur</w:t>
            </w:r>
          </w:p>
        </w:tc>
        <w:tc>
          <w:tcPr/>
          <w:p>
            <w:pPr>
              <w:pStyle w:val="Compact"/>
            </w:pPr>
            <w:r>
              <w:t xml:space="preserve">25.00</w:t>
            </w:r>
          </w:p>
        </w:tc>
        <w:tc>
          <w:tcPr/>
          <w:p>
            <w:pPr>
              <w:pStyle w:val="Compact"/>
            </w:pPr>
            <w:r>
              <w:t xml:space="preserve">Pour imprimantes jet d’encre de la gamme IJ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PA-4R</w:t>
            </w:r>
          </w:p>
        </w:tc>
        <w:tc>
          <w:tcPr/>
          <w:p>
            <w:pPr>
              <w:pStyle w:val="Compact"/>
            </w:pPr>
            <w:r>
              <w:t xml:space="preserve">Papier A4 recyclé, 80 g, ramette de 500 feuilles</w:t>
            </w:r>
          </w:p>
        </w:tc>
        <w:tc>
          <w:tcPr/>
          <w:p>
            <w:pPr>
              <w:pStyle w:val="Compact"/>
            </w:pPr>
            <w:r>
              <w:t xml:space="preserve">6.50</w:t>
            </w:r>
          </w:p>
        </w:tc>
        <w:tc>
          <w:tcPr/>
          <w:p>
            <w:pPr>
              <w:pStyle w:val="Compact"/>
            </w:pPr>
            <w:r>
              <w:t xml:space="preserve">Prix dégressif : 5.90 CHF la ramette à partir de 100 ramettes</w:t>
            </w:r>
          </w:p>
        </w:tc>
      </w:tr>
    </w:tbl>
    <w:p>
      <w:pPr>
        <w:pStyle w:val="BodyText"/>
      </w:pPr>
      <w:r>
        <w:t xml:space="preserve">Les toners et cartouches sont des consommables : ils sont exclus de la garantie et des contrats de maintenance.</w:t>
      </w:r>
    </w:p>
    <w:bookmarkEnd w:id="9"/>
    <w:bookmarkStart w:id="10" w:name="écrans-et-accessoires"/>
    <w:p>
      <w:pPr>
        <w:pStyle w:val="Heading1"/>
      </w:pPr>
      <w:r>
        <w:t xml:space="preserve">Écrans et accessoires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Référence</w:t>
            </w:r>
          </w:p>
        </w:tc>
        <w:tc>
          <w:tcPr/>
          <w:p>
            <w:pPr>
              <w:pStyle w:val="Compact"/>
            </w:pPr>
            <w:r>
              <w:t xml:space="preserve">Désignation</w:t>
            </w:r>
          </w:p>
        </w:tc>
        <w:tc>
          <w:tcPr/>
          <w:p>
            <w:pPr>
              <w:pStyle w:val="Compact"/>
            </w:pPr>
            <w:r>
              <w:t xml:space="preserve">Prix HT (CHF)</w:t>
            </w:r>
          </w:p>
        </w:tc>
        <w:tc>
          <w:tcPr/>
          <w:p>
            <w:pPr>
              <w:pStyle w:val="Compact"/>
            </w:pPr>
            <w:r>
              <w:t xml:space="preserve">Caractéristiques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EC-27Q</w:t>
            </w:r>
          </w:p>
        </w:tc>
        <w:tc>
          <w:tcPr/>
          <w:p>
            <w:pPr>
              <w:pStyle w:val="Compact"/>
            </w:pPr>
            <w:r>
              <w:t xml:space="preserve">Écran 27 pouces QHD</w:t>
            </w:r>
          </w:p>
        </w:tc>
        <w:tc>
          <w:tcPr/>
          <w:p>
            <w:pPr>
              <w:pStyle w:val="Compact"/>
            </w:pPr>
            <w:r>
              <w:t xml:space="preserve">600.00</w:t>
            </w:r>
          </w:p>
        </w:tc>
        <w:tc>
          <w:tcPr/>
          <w:p>
            <w:pPr>
              <w:pStyle w:val="Compact"/>
            </w:pPr>
            <w:r>
              <w:t xml:space="preserve">2560 × 1440 pixels ; entrée USB-C avec alimentation 65 W, compatible avec les ordinateurs portables récents, y compris MacBook ; HDMI et DisplayPort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DK-200</w:t>
            </w:r>
          </w:p>
        </w:tc>
        <w:tc>
          <w:tcPr/>
          <w:p>
            <w:pPr>
              <w:pStyle w:val="Compact"/>
            </w:pPr>
            <w:r>
              <w:t xml:space="preserve">Station d’accueil USB-C</w:t>
            </w:r>
          </w:p>
        </w:tc>
        <w:tc>
          <w:tcPr/>
          <w:p>
            <w:pPr>
              <w:pStyle w:val="Compact"/>
            </w:pPr>
            <w:r>
              <w:t xml:space="preserve">120.00</w:t>
            </w:r>
          </w:p>
        </w:tc>
        <w:tc>
          <w:tcPr/>
          <w:p>
            <w:pPr>
              <w:pStyle w:val="Compact"/>
            </w:pPr>
            <w:r>
              <w:t xml:space="preserve">Deux écrans 4K à 60 Hz, 4 ports USB, Ethernet, alimentation 100 W</w:t>
            </w:r>
          </w:p>
        </w:tc>
      </w:tr>
      <w:tr>
        <w:tc>
          <w:tcPr/>
          <w:p>
            <w:pPr>
              <w:pStyle w:val="Compact"/>
            </w:pPr>
            <w:r>
              <w:t xml:space="preserve">KB-80</w:t>
            </w:r>
          </w:p>
        </w:tc>
        <w:tc>
          <w:tcPr/>
          <w:p>
            <w:pPr>
              <w:pStyle w:val="Compact"/>
            </w:pPr>
            <w:r>
              <w:t xml:space="preserve">Clavier sans fil</w:t>
            </w:r>
          </w:p>
        </w:tc>
        <w:tc>
          <w:tcPr/>
          <w:p>
            <w:pPr>
              <w:pStyle w:val="Compact"/>
            </w:pPr>
            <w:r>
              <w:t xml:space="preserve">80.00</w:t>
            </w:r>
          </w:p>
        </w:tc>
        <w:tc>
          <w:tcPr/>
          <w:p>
            <w:pPr>
              <w:pStyle w:val="Compact"/>
            </w:pPr>
            <w:r>
              <w:t xml:space="preserve">Disposition suisse romande, autonomie de 12 mois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MS-30</w:t>
            </w:r>
          </w:p>
        </w:tc>
        <w:tc>
          <w:tcPr/>
          <w:p>
            <w:pPr>
              <w:pStyle w:val="Compact"/>
            </w:pPr>
            <w:r>
              <w:t xml:space="preserve">Souris sans fil</w:t>
            </w:r>
          </w:p>
        </w:tc>
        <w:tc>
          <w:tcPr/>
          <w:p>
            <w:pPr>
              <w:pStyle w:val="Compact"/>
            </w:pPr>
            <w:r>
              <w:t xml:space="preserve">30.00</w:t>
            </w:r>
          </w:p>
        </w:tc>
        <w:tc>
          <w:tcPr/>
          <w:p>
            <w:pPr>
              <w:pStyle w:val="Compact"/>
            </w:pPr>
            <w:r>
              <w:t xml:space="preserve">Récepteur USB, autonomie de 18 mois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MS-10</w:t>
            </w:r>
          </w:p>
        </w:tc>
        <w:tc>
          <w:tcPr/>
          <w:p>
            <w:pPr>
              <w:pStyle w:val="Compact"/>
            </w:pPr>
            <w:r>
              <w:t xml:space="preserve">Souris filaire</w:t>
            </w:r>
          </w:p>
        </w:tc>
        <w:tc>
          <w:tcPr/>
          <w:p>
            <w:pPr>
              <w:pStyle w:val="Compact"/>
            </w:pPr>
            <w:r>
              <w:t xml:space="preserve">15.00</w:t>
            </w:r>
          </w:p>
        </w:tc>
        <w:tc>
          <w:tcPr/>
          <w:p>
            <w:pPr>
              <w:pStyle w:val="Compact"/>
            </w:pPr>
            <w:r>
              <w:t xml:space="preserve">Câble USB de 1,8 m</w:t>
            </w:r>
          </w:p>
        </w:tc>
      </w:tr>
      <w:tr>
        <w:tc>
          <w:tcPr/>
          <w:p>
            <w:pPr>
              <w:pStyle w:val="Compact"/>
            </w:pPr>
            <w:r>
              <w:t xml:space="preserve">WC-HD</w:t>
            </w:r>
          </w:p>
        </w:tc>
        <w:tc>
          <w:tcPr/>
          <w:p>
            <w:pPr>
              <w:pStyle w:val="Compact"/>
            </w:pPr>
            <w:r>
              <w:t xml:space="preserve">Webcam Full HD</w:t>
            </w:r>
          </w:p>
        </w:tc>
        <w:tc>
          <w:tcPr/>
          <w:p>
            <w:pPr>
              <w:pStyle w:val="Compact"/>
            </w:pPr>
            <w:r>
              <w:t xml:space="preserve">120.00</w:t>
            </w:r>
          </w:p>
        </w:tc>
        <w:tc>
          <w:tcPr/>
          <w:p>
            <w:pPr>
              <w:pStyle w:val="Compact"/>
            </w:pPr>
            <w:r>
              <w:t xml:space="preserve">1080p, microphone intégré ; compatible avec les principales solutions de visioconférence sur ordinateur, pas avec les systèmes de salle dédiés</w:t>
            </w:r>
          </w:p>
        </w:tc>
      </w:tr>
    </w:tbl>
    <w:bookmarkEnd w:id="10"/>
    <w:bookmarkStart w:id="11" w:name="postes-de-travail"/>
    <w:p>
      <w:pPr>
        <w:pStyle w:val="Heading1"/>
      </w:pPr>
      <w:r>
        <w:t xml:space="preserve">Postes de travail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Référence</w:t>
            </w:r>
          </w:p>
        </w:tc>
        <w:tc>
          <w:tcPr/>
          <w:p>
            <w:pPr>
              <w:pStyle w:val="Compact"/>
            </w:pPr>
            <w:r>
              <w:t xml:space="preserve">Désignation</w:t>
            </w:r>
          </w:p>
        </w:tc>
        <w:tc>
          <w:tcPr/>
          <w:p>
            <w:pPr>
              <w:pStyle w:val="Compact"/>
            </w:pPr>
            <w:r>
              <w:t xml:space="preserve">Prix HT (CHF)</w:t>
            </w:r>
          </w:p>
        </w:tc>
        <w:tc>
          <w:tcPr/>
          <w:p>
            <w:pPr>
              <w:pStyle w:val="Compact"/>
            </w:pPr>
            <w:r>
              <w:t xml:space="preserve">Caractéristiques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NB-14</w:t>
            </w:r>
          </w:p>
        </w:tc>
        <w:tc>
          <w:tcPr/>
          <w:p>
            <w:pPr>
              <w:pStyle w:val="Compact"/>
            </w:pPr>
            <w:r>
              <w:t xml:space="preserve">Ordinateur portable 14 pouces</w:t>
            </w:r>
          </w:p>
        </w:tc>
        <w:tc>
          <w:tcPr/>
          <w:p>
            <w:pPr>
              <w:pStyle w:val="Compact"/>
            </w:pPr>
            <w:r>
              <w:t xml:space="preserve">1450.00</w:t>
            </w:r>
          </w:p>
        </w:tc>
        <w:tc>
          <w:tcPr/>
          <w:p>
            <w:pPr>
              <w:pStyle w:val="Compact"/>
            </w:pPr>
            <w:r>
              <w:t xml:space="preserve">16 Go de mémoire, SSD de 512 Go ; chargeur USB-C 65 W fourni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SE-700</w:t>
            </w:r>
          </w:p>
        </w:tc>
        <w:tc>
          <w:tcPr/>
          <w:p>
            <w:pPr>
              <w:pStyle w:val="Compact"/>
            </w:pPr>
            <w:r>
              <w:t xml:space="preserve">Siège ergonomique</w:t>
            </w:r>
          </w:p>
        </w:tc>
        <w:tc>
          <w:tcPr/>
          <w:p>
            <w:pPr>
              <w:pStyle w:val="Compact"/>
            </w:pPr>
            <w:r>
              <w:t xml:space="preserve">700.00</w:t>
            </w:r>
          </w:p>
        </w:tc>
        <w:tc>
          <w:tcPr/>
          <w:p>
            <w:pPr>
              <w:pStyle w:val="Compact"/>
            </w:pPr>
            <w:r>
              <w:t xml:space="preserve">Certifié selon la norme européenne EN 1335 ; accoudoirs et soutien lombaire réglables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LIC-SB</w:t>
            </w:r>
          </w:p>
        </w:tc>
        <w:tc>
          <w:tcPr/>
          <w:p>
            <w:pPr>
              <w:pStyle w:val="Compact"/>
            </w:pPr>
            <w:r>
              <w:t xml:space="preserve">Suite bureautique, licence annuelle par utilisateur</w:t>
            </w:r>
          </w:p>
        </w:tc>
        <w:tc>
          <w:tcPr/>
          <w:p>
            <w:pPr>
              <w:pStyle w:val="Compact"/>
            </w:pPr>
            <w:r>
              <w:t xml:space="preserve">120.00</w:t>
            </w:r>
          </w:p>
        </w:tc>
        <w:tc>
          <w:tcPr/>
          <w:p>
            <w:pPr>
              <w:pStyle w:val="Compact"/>
            </w:pPr>
            <w:r>
              <w:t xml:space="preserve">Activation en ligne ; licence non remboursable une fois activée</w:t>
            </w:r>
          </w:p>
        </w:tc>
      </w:tr>
    </w:tbl>
    <w:bookmarkEnd w:id="11"/>
    <w:bookmarkStart w:id="12" w:name="stockage-et-réseau"/>
    <w:p>
      <w:pPr>
        <w:pStyle w:val="Heading1"/>
      </w:pPr>
      <w:r>
        <w:t xml:space="preserve">Stockage et réseau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Référence</w:t>
            </w:r>
          </w:p>
        </w:tc>
        <w:tc>
          <w:tcPr/>
          <w:p>
            <w:pPr>
              <w:pStyle w:val="Compact"/>
            </w:pPr>
            <w:r>
              <w:t xml:space="preserve">Désignation</w:t>
            </w:r>
          </w:p>
        </w:tc>
        <w:tc>
          <w:tcPr/>
          <w:p>
            <w:pPr>
              <w:pStyle w:val="Compact"/>
            </w:pPr>
            <w:r>
              <w:t xml:space="preserve">Prix HT (CHF)</w:t>
            </w:r>
          </w:p>
        </w:tc>
        <w:tc>
          <w:tcPr/>
          <w:p>
            <w:pPr>
              <w:pStyle w:val="Compact"/>
            </w:pPr>
            <w:r>
              <w:t xml:space="preserve">Caractéristiques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NS-4</w:t>
            </w:r>
          </w:p>
        </w:tc>
        <w:tc>
          <w:tcPr/>
          <w:p>
            <w:pPr>
              <w:pStyle w:val="Compact"/>
            </w:pPr>
            <w:r>
              <w:t xml:space="preserve">Serveur NAS 4 baies</w:t>
            </w:r>
          </w:p>
        </w:tc>
        <w:tc>
          <w:tcPr/>
          <w:p>
            <w:pPr>
              <w:pStyle w:val="Compact"/>
            </w:pPr>
            <w:r>
              <w:t xml:space="preserve">1250.00</w:t>
            </w:r>
          </w:p>
        </w:tc>
        <w:tc>
          <w:tcPr/>
          <w:p>
            <w:pPr>
              <w:pStyle w:val="Compact"/>
            </w:pPr>
            <w:r>
              <w:t xml:space="preserve">RAID 0, 1, 5, 6 et 10 ; configuration du RAID depuis l’interface web, menu Stockage, assistant RAID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HD-8T</w:t>
            </w:r>
          </w:p>
        </w:tc>
        <w:tc>
          <w:tcPr/>
          <w:p>
            <w:pPr>
              <w:pStyle w:val="Compact"/>
            </w:pPr>
            <w:r>
              <w:t xml:space="preserve">Disque dur 8 To pour NAS</w:t>
            </w:r>
          </w:p>
        </w:tc>
        <w:tc>
          <w:tcPr/>
          <w:p>
            <w:pPr>
              <w:pStyle w:val="Compact"/>
            </w:pPr>
            <w:r>
              <w:t xml:space="preserve">210.00</w:t>
            </w:r>
          </w:p>
        </w:tc>
        <w:tc>
          <w:tcPr/>
          <w:p>
            <w:pPr>
              <w:pStyle w:val="Compact"/>
            </w:pPr>
            <w:r>
              <w:t xml:space="preserve">7 200 tours par minute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INST-NAS</w:t>
            </w:r>
          </w:p>
        </w:tc>
        <w:tc>
          <w:tcPr/>
          <w:p>
            <w:pPr>
              <w:pStyle w:val="Compact"/>
            </w:pPr>
            <w:r>
              <w:t xml:space="preserve">Installation et configuration d’un NAS sur site</w:t>
            </w:r>
          </w:p>
        </w:tc>
        <w:tc>
          <w:tcPr/>
          <w:p>
            <w:pPr>
              <w:pStyle w:val="Compact"/>
            </w:pPr>
            <w:r>
              <w:t xml:space="preserve">450.00</w:t>
            </w:r>
          </w:p>
        </w:tc>
        <w:tc>
          <w:tcPr/>
          <w:p>
            <w:pPr>
              <w:pStyle w:val="Compact"/>
            </w:pPr>
            <w:r>
              <w:t xml:space="preserve">Intervention d’un technicien, une demi-journée</w:t>
            </w:r>
          </w:p>
        </w:tc>
      </w:tr>
    </w:tbl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Fictiva SA — Catalogue produits 2026</dc:title>
  <dc:creator/>
  <cp:keywords/>
  <dcterms:created xsi:type="dcterms:W3CDTF">2026-10-24T21:43:31Z</dcterms:created>
  <dcterms:modified xsi:type="dcterms:W3CDTF">2026-10-24T21:43:31Z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Extrait — document fictif à usage pédagogique. Prix en CHF hors TVA.</vt:lpwstr>
  </property>
</Properties>
</file>