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 of results: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 the District Summary table, there are 15 unique schools, 39,170 total students, and a budget of $24,649.428.00. Average scores for reading and math area in the passing range and percentages of students passing are 74.98%(math) and 85.81%(reading) but the overall passing rate is 65.17% suggesting further investigation is required.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Diving deeper into the Per School Summary table, we see that when it comes to the overall passing rate, the top five schools charter schools (all five are &gt;90%) and the bottom 5 are district schools (low 50%). The district schools also have a much lower percentage of students passing math.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Looking at average math scores by grade, within each school they remain consistent from 9th through 12th grade, as do the reading scores.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Looking at the school spending table, there does not seem to be a relationship between spending ranges per student  and school scores or one based charter/district and their spending per pupil. In fact, the spending summary shows the passing percentages increase when spending the least per student.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Looking at school size, small and medium-sized schools had higher percentages of students passing than large schools.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final summary table it shows that charter schools have better scores and more noticeably better passing percentages for math, reading, and overall compared to district schools.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Most large schools listed, except one, are district schools. These results suggest student scores benefit from smaller schools.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results also suggest students passing these subjects are unaffected by funding per pupil.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