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5C38"/>
          <w:sz w:val="60"/>
          <w:szCs w:val="60"/>
        </w:rPr>
        <w:t xml:space="preserve">THE GREEN MILES PROBLEM</w:t>
      </w:r>
    </w:p>
    <w:p>
      <w:pPr>
        <w:spacing w:after="0" w:before="160"/>
        <w:jc w:val="center"/>
      </w:pPr>
      <w:r>
        <w:rPr>
          <w:rFonts w:ascii="Arial" w:cs="Arial" w:eastAsia="Arial" w:hAnsi="Arial"/>
          <w:i/>
          <w:iCs/>
          <w:color w:val="555555"/>
          <w:sz w:val="26"/>
          <w:szCs w:val="26"/>
        </w:rPr>
        <w:t xml:space="preserve">A Data Investigation into Germany's Logistics Scale vs Its Climate Commitments</w:t>
      </w:r>
    </w:p>
    <w:p>
      <w:pPr>
        <w:spacing w:after="600" w:before="60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2E8B57" w:sz="1"/>
              <w:left w:val="single" w:color="2E8B57" w:sz="1"/>
              <w:bottom w:val="single" w:color="2E8B57" w:sz="1"/>
              <w:right w:val="single" w:color="2E8B57" w:sz="1"/>
            </w:tcBorders>
            <w:shd w:fill="E8F5EE" w:val="clear"/>
            <w:tcMar>
              <w:top w:type="dxa" w:w="200"/>
              <w:left w:type="dxa" w:w="300"/>
              <w:bottom w:type="dxa" w:w="200"/>
              <w:right w:type="dxa" w:w="300"/>
            </w:tcMar>
          </w:tcPr>
          <w:p>
            <w:pPr>
              <w:spacing w:after="60" w:before="0"/>
              <w:jc w:val="center"/>
            </w:pPr>
            <w:r>
              <w:rPr>
                <w:rFonts w:ascii="Arial" w:cs="Arial" w:eastAsia="Arial" w:hAnsi="Arial"/>
                <w:b/>
                <w:bCs/>
                <w:sz w:val="24"/>
                <w:szCs w:val="24"/>
              </w:rPr>
              <w:t xml:space="preserve">Abdulbasit Ayoade</w:t>
            </w:r>
          </w:p>
          <w:p>
            <w:pPr>
              <w:spacing w:after="60" w:before="0"/>
              <w:jc w:val="center"/>
            </w:pPr>
            <w:r>
              <w:rPr>
                <w:rFonts w:ascii="Arial" w:cs="Arial" w:eastAsia="Arial" w:hAnsi="Arial"/>
                <w:color w:val="555555"/>
                <w:sz w:val="20"/>
                <w:szCs w:val="20"/>
              </w:rPr>
              <w:t xml:space="preserve">Data Sources: Eurostat API  |  EC GROW Postal Statistics</w:t>
            </w:r>
          </w:p>
          <w:p>
            <w:pPr>
              <w:spacing w:after="0" w:before="0"/>
              <w:jc w:val="center"/>
            </w:pPr>
            <w:r>
              <w:rPr>
                <w:rFonts w:ascii="Arial" w:cs="Arial" w:eastAsia="Arial" w:hAnsi="Arial"/>
                <w:color w:val="555555"/>
                <w:sz w:val="20"/>
                <w:szCs w:val="20"/>
              </w:rPr>
              <w:t xml:space="preserve">Countries: Germany, France, Spain, Netherlands, Poland  |  Period: 2000–2024</w:t>
            </w:r>
          </w:p>
        </w:tc>
      </w:tr>
    </w:tbl>
    <w:p>
      <w:pPr>
        <w:spacing w:after="800" w:before="800"/>
      </w:pPr>
    </w:p>
    <w:p>
      <w:r>
        <w:br w:type="page"/>
      </w:r>
    </w:p>
    <w:p>
      <w:pPr>
        <w:pStyle w:val="Heading1"/>
        <w:spacing w:after="120" w:before="280"/>
      </w:pPr>
      <w:r>
        <w:rPr>
          <w:rFonts w:ascii="Arial" w:cs="Arial" w:eastAsia="Arial" w:hAnsi="Arial"/>
          <w:b/>
          <w:bCs/>
          <w:color w:val="1A5C38"/>
          <w:sz w:val="30"/>
          <w:szCs w:val="30"/>
        </w:rPr>
        <w:t xml:space="preserve">Executive Summary</w:t>
      </w:r>
    </w:p>
    <w:p>
      <w:pPr>
        <w:spacing w:after="80" w:before="80" w:line="276"/>
      </w:pPr>
      <w:r>
        <w:rPr>
          <w:rFonts w:ascii="Arial" w:cs="Arial" w:eastAsia="Arial" w:hAnsi="Arial"/>
          <w:sz w:val="22"/>
          <w:szCs w:val="22"/>
        </w:rPr>
        <w:t xml:space="preserve">Germany operates one of Europe's largest logistics networks while simultaneously positioning itself as a global climate leader. This project asks a simple but uncomfortable question: does the data support both claims simultaneously, or is there a contradiction hiding in the numbers?</w:t>
      </w:r>
    </w:p>
    <w:p>
      <w:pPr>
        <w:spacing w:after="80" w:before="80"/>
      </w:pPr>
    </w:p>
    <w:p>
      <w:pPr>
        <w:spacing w:after="80" w:before="80" w:line="276"/>
      </w:pPr>
      <w:r>
        <w:rPr>
          <w:rFonts w:ascii="Arial" w:cs="Arial" w:eastAsia="Arial" w:hAnsi="Arial"/>
          <w:sz w:val="22"/>
          <w:szCs w:val="22"/>
        </w:rPr>
        <w:t xml:space="preserve">Using publicly available data from the Eurostat API and the European Commission's GROW postal statistics database, we analysed four dimensions of Germany's logistics and environmental footprint across five comparable European economies: Germany, France, Spain, the Netherlands, and Poland. The analysis covers road freight volumes, transport sector GHG emissions, waste recycling rates, and postal/parcel volumes from 2000 to 2024.</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500"/>
        <w:gridCol w:w="1560"/>
      </w:tblGrid>
      <w:tr>
        <w:tc>
          <w:tcPr>
            <w:tcW w:type="dxa" w:w="9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w:t>
            </w:r>
          </w:p>
        </w:tc>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4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H1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Germany processes significantly more freight and parcels than comparable EU economies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Germany dominated road freight for two decades but Poland has quietly overtaken it in recent years. On parcels, Germany is in a different league, processing over 3x more per person than France and still growing.</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H2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 Germany’s transport sector contributes disproportionately to GHG emissions relative to its EU peers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Germany’s transport sector emits nearly 25% more than France despite similar population size, and peaks at 182,200 Mt CO₂e, the highest of all five countries across the full study period.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Confirmed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H3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Mitigation Gap: Germany’s green reputation is ahead of its green reality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 fell 20.4% over two decades, which represents meaningful progress. But recycling grew only 8.7% in the same period. Against a backdrop of sustained logistics scale, the mitigation gap is real and wider than Germany’s climate narrative suggests.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Research Question</w:t>
      </w:r>
    </w:p>
    <w:p>
      <w:pPr>
        <w:spacing w:after="80" w:before="80" w:line="276"/>
      </w:pPr>
      <w:r>
        <w:rPr>
          <w:rFonts w:ascii="Arial" w:cs="Arial" w:eastAsia="Arial" w:hAnsi="Arial"/>
          <w:sz w:val="22"/>
          <w:szCs w:val="22"/>
        </w:rPr>
        <w:t xml:space="preserve">Germany has built its post-war identity in part around two claims: industrial dominance and environmental responsibility. It is Europe’s largest economy, its logistics network handles an enormous share of continental freight, and it is home to the world’s leading industrial exporters. At the same time, Germany was an early adopter of the Energiewende, leads on renewable energy capacity, and markets itself as the EU’s green conscience.</w:t>
      </w:r>
    </w:p>
    <w:p>
      <w:pPr>
        <w:spacing w:after="80" w:before="80"/>
      </w:pPr>
    </w:p>
    <w:p>
      <w:pPr>
        <w:spacing w:after="80" w:before="80" w:line="276"/>
      </w:pPr>
      <w:r>
        <w:rPr>
          <w:rFonts w:ascii="Arial" w:cs="Arial" w:eastAsia="Arial" w:hAnsi="Arial"/>
          <w:sz w:val="22"/>
          <w:szCs w:val="22"/>
        </w:rPr>
        <w:t xml:space="preserve">This creates a testable tension. Can you run one of the continent’s largest and most carbon-intensive logistics networks and simultaneously be a credible climate leader? Or does the scale of the logistics operation make the climate commitments structurally difficult to fulfil?</w:t>
      </w:r>
    </w:p>
    <w:p>
      <w:pPr>
        <w:spacing w:after="80" w:before="80"/>
      </w:pPr>
    </w:p>
    <w:p>
      <w:pPr>
        <w:spacing w:after="80" w:before="80" w:line="276"/>
      </w:pPr>
      <w:r>
        <w:rPr>
          <w:rFonts w:ascii="Arial" w:cs="Arial" w:eastAsia="Arial" w:hAnsi="Arial"/>
          <w:sz w:val="22"/>
          <w:szCs w:val="22"/>
        </w:rPr>
        <w:t xml:space="preserve">The central question this project investigates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B57" w:sz="12"/>
              <w:bottom w:val="none" w:color="FFFFFF" w:sz="0"/>
              <w:right w:val="none" w:color="FFFFFF" w:sz="0"/>
            </w:tcBorders>
            <w:tcMar>
              <w:top w:type="dxa" w:w="120"/>
              <w:left w:type="dxa" w:w="360"/>
              <w:bottom w:type="dxa" w:w="120"/>
              <w:right w:type="dxa" w:w="240"/>
            </w:tcMar>
          </w:tcPr>
          <w:p>
            <w:r>
              <w:rPr>
                <w:rFonts w:ascii="Arial" w:cs="Arial" w:eastAsia="Arial" w:hAnsi="Arial"/>
                <w:i/>
                <w:iCs/>
                <w:color w:val="1A5C38"/>
                <w:sz w:val="24"/>
                <w:szCs w:val="24"/>
              </w:rPr>
              <w:t xml:space="preserve">“Does the data support Germany being both a logistics giant and a climate leader simultaneously, or is there a contradiction hiding in the numbers?”</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Methodology &amp; Data Sources</w:t>
      </w:r>
    </w:p>
    <w:p>
      <w:pPr>
        <w:spacing w:after="80" w:before="80" w:line="276"/>
      </w:pPr>
      <w:r>
        <w:rPr>
          <w:rFonts w:ascii="Arial" w:cs="Arial" w:eastAsia="Arial" w:hAnsi="Arial"/>
          <w:sz w:val="22"/>
          <w:szCs w:val="22"/>
        </w:rPr>
        <w:t xml:space="preserve">The project is built as a reproducible ETL pipeline in Python, pulling directly from two authoritative European data sources. All data collection, cleaning, analysis, and visualisation was done programmatically, with no manual data entry or spreadsheet manipulation.</w:t>
      </w:r>
    </w:p>
    <w:p>
      <w:pPr>
        <w:spacing w:after="120" w:before="120"/>
      </w:pPr>
    </w:p>
    <w:p>
      <w:pPr>
        <w:pStyle w:val="Heading2"/>
        <w:spacing w:after="80" w:before="200"/>
      </w:pPr>
      <w:r>
        <w:rPr>
          <w:rFonts w:ascii="Arial" w:cs="Arial" w:eastAsia="Arial" w:hAnsi="Arial"/>
          <w:b/>
          <w:bCs/>
          <w:color w:val="2E8B57"/>
          <w:sz w:val="25"/>
          <w:szCs w:val="25"/>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Eurostat ID</w:t>
            </w:r>
          </w:p>
        </w:tc>
        <w:tc>
          <w:tcPr>
            <w:tcW w:type="dxa" w:w="22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 Freight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Eurostat API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road_go_ta_tott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1999–2024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Emissions (GHG)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Eurostat API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env_air_gge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1990–2022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Waste Recycling Rates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Eurostat API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env_wastrt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2010–2022 (biennial)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Postal &amp; Parcel Volumes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 GROW Postal Statistics (IPC GrowPost CUBE)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CSV dataset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2012–2024</w:t>
            </w:r>
          </w:p>
        </w:tc>
      </w:tr>
    </w:tbl>
    <w:p>
      <w:pPr>
        <w:spacing w:after="120" w:before="120"/>
      </w:pPr>
    </w:p>
    <w:p>
      <w:pPr>
        <w:pStyle w:val="Heading2"/>
        <w:spacing w:after="80" w:before="200"/>
      </w:pPr>
      <w:r>
        <w:rPr>
          <w:rFonts w:ascii="Arial" w:cs="Arial" w:eastAsia="Arial" w:hAnsi="Arial"/>
          <w:b/>
          <w:bCs/>
          <w:color w:val="2E8B57"/>
          <w:sz w:val="25"/>
          <w:szCs w:val="25"/>
        </w:rPr>
        <w:t xml:space="preserve">Countries Covered</w:t>
      </w:r>
    </w:p>
    <w:p>
      <w:pPr>
        <w:spacing w:after="80" w:before="80" w:line="276"/>
      </w:pPr>
      <w:r>
        <w:rPr>
          <w:rFonts w:ascii="Arial" w:cs="Arial" w:eastAsia="Arial" w:hAnsi="Arial"/>
          <w:sz w:val="22"/>
          <w:szCs w:val="22"/>
        </w:rPr>
        <w:t xml:space="preserve">The five countries covered are Germany, France, Spain, Netherlands, and Poland: comparable European economies chosen to provide meaningful peer benchmarks across varying population sizes, industrial profiles, and geographic positions within the EU.</w:t>
      </w:r>
    </w:p>
    <w:p>
      <w:pPr>
        <w:spacing w:after="120" w:before="120"/>
      </w:pPr>
    </w:p>
    <w:p>
      <w:pPr>
        <w:pStyle w:val="Heading2"/>
        <w:spacing w:after="80" w:before="200"/>
      </w:pPr>
      <w:r>
        <w:rPr>
          <w:rFonts w:ascii="Arial" w:cs="Arial" w:eastAsia="Arial" w:hAnsi="Arial"/>
          <w:b/>
          <w:bCs/>
          <w:color w:val="2E8B57"/>
          <w:sz w:val="25"/>
          <w:szCs w:val="25"/>
        </w:rPr>
        <w:t xml:space="preserve">ETL Pipeline</w:t>
      </w:r>
    </w:p>
    <w:p>
      <w:pPr>
        <w:spacing w:after="80" w:before="80" w:line="276"/>
      </w:pPr>
      <w:r>
        <w:rPr>
          <w:rFonts w:ascii="Arial" w:cs="Arial" w:eastAsia="Arial" w:hAnsi="Arial"/>
          <w:sz w:val="22"/>
          <w:szCs w:val="22"/>
        </w:rPr>
        <w:t xml:space="preserve">The data collection pipeline consists of three Python scripts:</w:t>
      </w:r>
    </w:p>
    <w:p>
      <w:pPr>
        <w:pStyle w:val="ListParagraph"/>
        <w:numPr>
          <w:ilvl w:val="0"/>
          <w:numId w:val="2"/>
        </w:numPr>
        <w:spacing w:after="60" w:before="60"/>
      </w:pPr>
      <w:r>
        <w:rPr>
          <w:rFonts w:ascii="Arial" w:cs="Arial" w:eastAsia="Arial" w:hAnsi="Arial"/>
          <w:sz w:val="22"/>
          <w:szCs w:val="22"/>
        </w:rPr>
        <w:t xml:space="preserve">eurostat_collector.py: queries the Eurostat REST API for road freight, transport emissions, and recycling rates across all five countries, parses the JSON response format, and writes clean CSVs to data/raw/</w:t>
      </w:r>
    </w:p>
    <w:p>
      <w:pPr>
        <w:pStyle w:val="ListParagraph"/>
        <w:numPr>
          <w:ilvl w:val="0"/>
          <w:numId w:val="2"/>
        </w:numPr>
        <w:spacing w:after="60" w:before="60"/>
      </w:pPr>
      <w:r>
        <w:rPr>
          <w:rFonts w:ascii="Arial" w:cs="Arial" w:eastAsia="Arial" w:hAnsi="Arial"/>
          <w:sz w:val="22"/>
          <w:szCs w:val="22"/>
        </w:rPr>
        <w:t xml:space="preserve">postal_loader.py: loads and cleans the compressed IPC GrowPost dataset, filters to the five study countries and two indicators (letter mail and parcel volumes per inhabitant), and pivots to a clean format in data/processed/</w:t>
      </w:r>
    </w:p>
    <w:p>
      <w:pPr>
        <w:pStyle w:val="ListParagraph"/>
        <w:numPr>
          <w:ilvl w:val="0"/>
          <w:numId w:val="2"/>
        </w:numPr>
        <w:spacing w:after="60" w:before="60"/>
      </w:pPr>
      <w:r>
        <w:rPr>
          <w:rFonts w:ascii="Arial" w:cs="Arial" w:eastAsia="Arial" w:hAnsi="Arial"/>
          <w:sz w:val="22"/>
          <w:szCs w:val="22"/>
        </w:rPr>
        <w:t xml:space="preserve">pipeline.py: orchestrator that runs both scripts in sequence</w:t>
      </w:r>
    </w:p>
    <w:p>
      <w:pPr>
        <w:spacing w:after="80" w:before="80"/>
      </w:pPr>
    </w:p>
    <w:p>
      <w:pPr>
        <w:spacing w:after="80" w:before="80" w:line="276"/>
      </w:pPr>
      <w:r>
        <w:rPr>
          <w:rFonts w:ascii="Arial" w:cs="Arial" w:eastAsia="Arial" w:hAnsi="Arial"/>
          <w:sz w:val="22"/>
          <w:szCs w:val="22"/>
        </w:rPr>
        <w:t xml:space="preserve">A dedicated EDA notebook (green_miles_eda.ipynb) performs all analysis, produces the visualisation exports, and generates the six Tableau-ready CSV exports used in the dashboard.</w:t>
      </w:r>
    </w:p>
    <w:p>
      <w:pPr>
        <w:spacing w:after="200" w:before="200"/>
      </w:pPr>
    </w:p>
    <w:p>
      <w:r>
        <w:br w:type="page"/>
      </w:r>
    </w:p>
    <w:p>
      <w:pPr>
        <w:pStyle w:val="Heading1"/>
        <w:spacing w:after="120" w:before="280"/>
      </w:pPr>
      <w:r>
        <w:rPr>
          <w:rFonts w:ascii="Arial" w:cs="Arial" w:eastAsia="Arial" w:hAnsi="Arial"/>
          <w:b/>
          <w:bCs/>
          <w:color w:val="1A5C38"/>
          <w:sz w:val="30"/>
          <w:szCs w:val="30"/>
        </w:rPr>
        <w:t xml:space="preserve">H1 — Scale Analysis</w:t>
      </w:r>
    </w:p>
    <w:p>
      <w:pPr>
        <w:spacing w:after="120" w:before="0"/>
      </w:pPr>
      <w:r>
        <w:rPr>
          <w:rFonts w:ascii="Arial" w:cs="Arial" w:eastAsia="Arial" w:hAnsi="Arial"/>
          <w:b/>
          <w:bCs/>
          <w:i/>
          <w:iCs/>
          <w:sz w:val="22"/>
          <w:szCs w:val="22"/>
        </w:rPr>
        <w:t xml:space="preserve">Claim: </w:t>
      </w:r>
      <w:r>
        <w:rPr>
          <w:rFonts w:ascii="Arial" w:cs="Arial" w:eastAsia="Arial" w:hAnsi="Arial"/>
          <w:i/>
          <w:iCs/>
          <w:color w:val="555555"/>
          <w:sz w:val="22"/>
          <w:szCs w:val="22"/>
        </w:rPr>
        <w:t xml:space="preserve">Germany processes significantly more freight and parcels than comparable European economies.</w:t>
      </w:r>
    </w:p>
    <w:p>
      <w:pPr>
        <w:pStyle w:val="Heading2"/>
        <w:spacing w:after="80" w:before="200"/>
      </w:pPr>
      <w:r>
        <w:rPr>
          <w:rFonts w:ascii="Arial" w:cs="Arial" w:eastAsia="Arial" w:hAnsi="Arial"/>
          <w:b/>
          <w:bCs/>
          <w:color w:val="2E8B57"/>
          <w:sz w:val="25"/>
          <w:szCs w:val="25"/>
        </w:rPr>
        <w:t xml:space="preserve">Road Freight</w:t>
      </w:r>
    </w:p>
    <w:p>
      <w:pPr>
        <w:spacing w:after="80" w:before="80" w:line="276"/>
      </w:pPr>
      <w:r>
        <w:rPr>
          <w:rFonts w:ascii="Arial" w:cs="Arial" w:eastAsia="Arial" w:hAnsi="Arial"/>
          <w:sz w:val="22"/>
          <w:szCs w:val="22"/>
        </w:rPr>
        <w:t xml:space="preserve">Germany has dominated European road freight for two decades. The country averages 307,893 million tonne-kilometres (TKM) over the study period, with a peak of 343,447 million TKM, significantly above France (184,324 million TKM average) and Spain (222,447 million TKM average).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307,893M TKM</w:t>
            </w:r>
          </w:p>
          <w:p>
            <w:pPr>
              <w:spacing w:after="0" w:before="0"/>
              <w:jc w:val="center"/>
            </w:pPr>
            <w:r>
              <w:rPr>
                <w:rFonts w:ascii="Arial" w:cs="Arial" w:eastAsia="Arial" w:hAnsi="Arial"/>
                <w:color w:val="555555"/>
                <w:sz w:val="18"/>
                <w:szCs w:val="18"/>
              </w:rPr>
              <w:t xml:space="preserve">Germany avg road freight</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343,447M TKM</w:t>
            </w:r>
          </w:p>
          <w:p>
            <w:pPr>
              <w:spacing w:after="0" w:before="0"/>
              <w:jc w:val="center"/>
            </w:pPr>
            <w:r>
              <w:rPr>
                <w:rFonts w:ascii="Arial" w:cs="Arial" w:eastAsia="Arial" w:hAnsi="Arial"/>
                <w:color w:val="555555"/>
                <w:sz w:val="18"/>
                <w:szCs w:val="18"/>
              </w:rPr>
              <w:t xml:space="preserve">Germany peak (all-time high)</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184,324M TKM</w:t>
            </w:r>
          </w:p>
          <w:p>
            <w:pPr>
              <w:spacing w:after="0" w:before="0"/>
              <w:jc w:val="center"/>
            </w:pPr>
            <w:r>
              <w:rPr>
                <w:rFonts w:ascii="Arial" w:cs="Arial" w:eastAsia="Arial" w:hAnsi="Arial"/>
                <w:color w:val="555555"/>
                <w:sz w:val="18"/>
                <w:szCs w:val="18"/>
              </w:rPr>
              <w:t xml:space="preserve">France avg — closest peer</w:t>
            </w:r>
          </w:p>
        </w:tc>
      </w:tr>
    </w:tbl>
    <w:p>
      <w:pPr>
        <w:spacing w:after="120" w:before="120"/>
      </w:pPr>
    </w:p>
    <w:p>
      <w:pPr>
        <w:spacing w:after="80" w:before="80" w:line="276"/>
      </w:pPr>
      <w:r>
        <w:rPr>
          <w:rFonts w:ascii="Arial" w:cs="Arial" w:eastAsia="Arial" w:hAnsi="Arial"/>
          <w:sz w:val="22"/>
          <w:szCs w:val="22"/>
        </w:rPr>
        <w:t xml:space="preserve">However, the headline finding here is not Germany’s dominance; it is Poland’s rise. Poland’s road freight has grown from approximately 102,807 million TKM in 2000 to over 385,089 million TKM by the end of the study period, overtaking Germany in recent years. This is driven by three compounding forces: nearshoring of manufacturing from further east, the relocation of distribution centres to Poland by major European retailers and logistics operators, and rapid e-commerce growth in a market that was underserved by logistics infrastructure as recently as 2010.</w:t>
      </w:r>
    </w:p>
    <w:p>
      <w:pPr>
        <w:spacing w:after="80" w:before="80"/>
      </w:pPr>
    </w:p>
    <w:p>
      <w:pPr>
        <w:spacing w:after="80" w:before="80" w:line="276"/>
      </w:pPr>
      <w:r>
        <w:rPr>
          <w:rFonts w:ascii="Arial" w:cs="Arial" w:eastAsia="Arial" w:hAnsi="Arial"/>
          <w:sz w:val="22"/>
          <w:szCs w:val="22"/>
        </w:rPr>
        <w:t xml:space="preserve">Businesses still designing their European distribution strategy around Germany as the singular anchor are working with an outdated map. Poland is now the freight growth story of continental Europe.</w:t>
      </w:r>
    </w:p>
    <w:p>
      <w:pPr>
        <w:spacing w:after="120" w:before="120"/>
      </w:pPr>
    </w:p>
    <w:p>
      <w:pPr>
        <w:pStyle w:val="Heading2"/>
        <w:spacing w:after="80" w:before="200"/>
      </w:pPr>
      <w:r>
        <w:rPr>
          <w:rFonts w:ascii="Arial" w:cs="Arial" w:eastAsia="Arial" w:hAnsi="Arial"/>
          <w:b/>
          <w:bCs/>
          <w:color w:val="2E8B57"/>
          <w:sz w:val="25"/>
          <w:szCs w:val="25"/>
        </w:rPr>
        <w:t xml:space="preserve">Postal &amp; Parcel Volumes</w:t>
      </w:r>
    </w:p>
    <w:p>
      <w:pPr>
        <w:spacing w:after="80" w:before="80" w:line="276"/>
      </w:pPr>
      <w:r>
        <w:rPr>
          <w:rFonts w:ascii="Arial" w:cs="Arial" w:eastAsia="Arial" w:hAnsi="Arial"/>
          <w:sz w:val="22"/>
          <w:szCs w:val="22"/>
        </w:rPr>
        <w:t xml:space="preserve">On postal and parcel volumes, the Germany-France gap is stark. Germany processes parcels at a rate of approximately 1,606,644 items per inhabitant on average, more than three times the French rate. This is not simply a logistics story; it reflects deeper e-commerce penetration, stronger consumer purchasing power, and a more mature delivery infrastructure built on the back of decades of catalogue retail and industrial procurement.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1,606,644</w:t>
            </w:r>
          </w:p>
          <w:p>
            <w:pPr>
              <w:spacing w:after="0" w:before="0"/>
              <w:jc w:val="center"/>
            </w:pPr>
            <w:r>
              <w:rPr>
                <w:rFonts w:ascii="Arial" w:cs="Arial" w:eastAsia="Arial" w:hAnsi="Arial"/>
                <w:color w:val="555555"/>
                <w:sz w:val="18"/>
                <w:szCs w:val="18"/>
              </w:rPr>
              <w:t xml:space="preserve">Germany avg parcels / inhabitant</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3×</w:t>
            </w:r>
          </w:p>
          <w:p>
            <w:pPr>
              <w:spacing w:after="0" w:before="0"/>
              <w:jc w:val="center"/>
            </w:pPr>
            <w:r>
              <w:rPr>
                <w:rFonts w:ascii="Arial" w:cs="Arial" w:eastAsia="Arial" w:hAnsi="Arial"/>
                <w:color w:val="555555"/>
                <w:sz w:val="18"/>
                <w:szCs w:val="18"/>
              </w:rPr>
              <w:t xml:space="preserve">Germany’s parcel rate vs France</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 30%</w:t>
            </w:r>
          </w:p>
          <w:p>
            <w:pPr>
              <w:spacing w:after="0" w:before="0"/>
              <w:jc w:val="center"/>
            </w:pPr>
            <w:r>
              <w:rPr>
                <w:rFonts w:ascii="Arial" w:cs="Arial" w:eastAsia="Arial" w:hAnsi="Arial"/>
                <w:color w:val="555555"/>
                <w:sz w:val="18"/>
                <w:szCs w:val="18"/>
              </w:rPr>
              <w:t xml:space="preserve">Germany letter mail decline since 2012</w:t>
            </w:r>
          </w:p>
        </w:tc>
      </w:tr>
    </w:tbl>
    <w:p>
      <w:pPr>
        <w:spacing w:after="120" w:before="120"/>
      </w:pPr>
    </w:p>
    <w:p>
      <w:pPr>
        <w:spacing w:after="80" w:before="80" w:line="276"/>
      </w:pPr>
      <w:r>
        <w:rPr>
          <w:rFonts w:ascii="Arial" w:cs="Arial" w:eastAsia="Arial" w:hAnsi="Arial"/>
          <w:sz w:val="22"/>
          <w:szCs w:val="22"/>
        </w:rPr>
        <w:t xml:space="preserve">Letter mail volumes tell a different story: consistent decline across all five countries, with Germany’s total letter mail falling approximately 30% between 2012 and 2024. This pattern is uniform across Europe and reflects the global shift to digital communications rather than any Germany-specific dynamic.</w:t>
      </w:r>
    </w:p>
    <w:p>
      <w:pPr>
        <w:spacing w:after="80" w:before="80"/>
      </w:pPr>
    </w:p>
    <w:p>
      <w:pPr>
        <w:spacing w:after="80" w:before="80" w:line="276"/>
      </w:pPr>
      <w:r>
        <w:rPr>
          <w:rFonts w:ascii="Arial" w:cs="Arial" w:eastAsia="Arial" w:hAnsi="Arial"/>
          <w:sz w:val="22"/>
          <w:szCs w:val="22"/>
        </w:rPr>
        <w:t xml:space="preserve">A data quality note: Germany’s 2016 letter mail value (1.25 million items) was excluded from trend analysis as a reporting anomaly, sitting 83% below adjacent years with no corresponding market event to explain it. Germany’s parcel data also carries NaN values for 2014 and 2015 in the raw EC GROW dataset, which were interpolated linearly for Tableau visualisations.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0A" w:sz="1"/>
              <w:left w:val="single" w:color="D4830A" w:sz="1"/>
              <w:bottom w:val="single" w:color="D4830A" w:sz="1"/>
              <w:right w:val="single" w:color="D4830A" w:sz="1"/>
            </w:tcBorders>
            <w:shd w:fill="FFF3CD" w:val="clear"/>
            <w:tcMar>
              <w:top w:type="dxa" w:w="140"/>
              <w:left w:type="dxa" w:w="240"/>
              <w:bottom w:type="dxa" w:w="140"/>
              <w:right w:type="dxa" w:w="240"/>
            </w:tcMar>
          </w:tcPr>
          <w:p>
            <w:pPr>
              <w:spacing w:after="60" w:before="0"/>
            </w:pPr>
            <w:r>
              <w:rPr>
                <w:rFonts w:ascii="Arial" w:cs="Arial" w:eastAsia="Arial" w:hAnsi="Arial"/>
                <w:b/>
                <w:bCs/>
                <w:color w:val="856404"/>
                <w:sz w:val="24"/>
                <w:szCs w:val="24"/>
              </w:rPr>
              <w:t xml:space="preserve">H1 Verdict: Partial</w:t>
            </w:r>
          </w:p>
          <w:p>
            <w:pPr>
              <w:spacing w:after="0" w:before="0"/>
            </w:pPr>
            <w:r>
              <w:rPr>
                <w:rFonts w:ascii="Arial" w:cs="Arial" w:eastAsia="Arial" w:hAnsi="Arial"/>
                <w:sz w:val="21"/>
                <w:szCs w:val="21"/>
              </w:rPr>
              <w:t xml:space="preserve">Germany retains clear dominance on parcel volumes. On road freight, the claim holds historically but Poland has now overtaken Germany in total TKM, a structural shift that has significant implications for European logistics strategy.</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H2 — Environmental Cost</w:t>
      </w:r>
    </w:p>
    <w:p>
      <w:pPr>
        <w:spacing w:after="120" w:before="0"/>
      </w:pPr>
      <w:r>
        <w:rPr>
          <w:rFonts w:ascii="Arial" w:cs="Arial" w:eastAsia="Arial" w:hAnsi="Arial"/>
          <w:b/>
          <w:bCs/>
          <w:i/>
          <w:iCs/>
          <w:sz w:val="22"/>
          <w:szCs w:val="22"/>
        </w:rPr>
        <w:t xml:space="preserve">Claim: </w:t>
      </w:r>
      <w:r>
        <w:rPr>
          <w:rFonts w:ascii="Arial" w:cs="Arial" w:eastAsia="Arial" w:hAnsi="Arial"/>
          <w:i/>
          <w:iCs/>
          <w:color w:val="555555"/>
          <w:sz w:val="22"/>
          <w:szCs w:val="22"/>
        </w:rPr>
        <w:t xml:space="preserve">Germany’s transport sector contributes disproportionately to GHG emissions relative to its EU peers.</w:t>
      </w:r>
    </w:p>
    <w:p>
      <w:pPr>
        <w:spacing w:after="80" w:before="80" w:line="276"/>
      </w:pPr>
      <w:r>
        <w:rPr>
          <w:rFonts w:ascii="Arial" w:cs="Arial" w:eastAsia="Arial" w:hAnsi="Arial"/>
          <w:sz w:val="22"/>
          <w:szCs w:val="22"/>
        </w:rPr>
        <w:t xml:space="preserve">This hypothesis is the most clearly confirmed in the dataset. Germany’s transport sector, filtered to ‘Fuel combustion in transport’ per Eurostat’s CRF classification, emits more than any other country in the study group across every year of the analysis.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182,200 Mt</w:t>
            </w:r>
          </w:p>
          <w:p>
            <w:pPr>
              <w:spacing w:after="0" w:before="0"/>
              <w:jc w:val="center"/>
            </w:pPr>
            <w:r>
              <w:rPr>
                <w:rFonts w:ascii="Arial" w:cs="Arial" w:eastAsia="Arial" w:hAnsi="Arial"/>
                <w:color w:val="555555"/>
                <w:sz w:val="18"/>
                <w:szCs w:val="18"/>
              </w:rPr>
              <w:t xml:space="preserve">Germany peak transport emissions (CO₂e)</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159,966 Mt</w:t>
            </w:r>
          </w:p>
          <w:p>
            <w:pPr>
              <w:spacing w:after="0" w:before="0"/>
              <w:jc w:val="center"/>
            </w:pPr>
            <w:r>
              <w:rPr>
                <w:rFonts w:ascii="Arial" w:cs="Arial" w:eastAsia="Arial" w:hAnsi="Arial"/>
                <w:color w:val="555555"/>
                <w:sz w:val="18"/>
                <w:szCs w:val="18"/>
              </w:rPr>
              <w:t xml:space="preserve">Germany avg transport emissions</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+25%</w:t>
            </w:r>
          </w:p>
          <w:p>
            <w:pPr>
              <w:spacing w:after="0" w:before="0"/>
              <w:jc w:val="center"/>
            </w:pPr>
            <w:r>
              <w:rPr>
                <w:rFonts w:ascii="Arial" w:cs="Arial" w:eastAsia="Arial" w:hAnsi="Arial"/>
                <w:color w:val="555555"/>
                <w:sz w:val="18"/>
                <w:szCs w:val="18"/>
              </w:rPr>
              <w:t xml:space="preserve">Germany vs France despite similar population</w:t>
            </w:r>
          </w:p>
        </w:tc>
      </w:tr>
    </w:tbl>
    <w:p>
      <w:pPr>
        <w:spacing w:after="120" w:before="120"/>
      </w:pPr>
    </w:p>
    <w:p>
      <w:pPr>
        <w:spacing w:after="80" w:before="80" w:line="276"/>
      </w:pPr>
      <w:r>
        <w:rPr>
          <w:rFonts w:ascii="Arial" w:cs="Arial" w:eastAsia="Arial" w:hAnsi="Arial"/>
          <w:sz w:val="22"/>
          <w:szCs w:val="22"/>
        </w:rPr>
        <w:t xml:space="preserve">Germany’s peak transport emissions of 182,200 million tonnes CO₂ equivalent occurred in the early 2000s, with the country averaging 159,966 Mt CO₂e across the full period. France, with a comparable population, averages 134,820 Mt CO₂e, nearly 25% less. This gap is not explained by population size alone; it reflects Germany’s industrial structure, the composition of its freight (heavy manufacturing goods vs lighter consumer goods), and the dominance of road transport relative to rail in its logistics network.</w:t>
      </w:r>
    </w:p>
    <w:p>
      <w:pPr>
        <w:spacing w:after="80" w:before="80"/>
      </w:pPr>
    </w:p>
    <w:p>
      <w:pPr>
        <w:spacing w:after="80" w:before="80" w:line="276"/>
      </w:pPr>
      <w:r>
        <w:rPr>
          <w:rFonts w:ascii="Arial" w:cs="Arial" w:eastAsia="Arial" w:hAnsi="Arial"/>
          <w:sz w:val="22"/>
          <w:szCs w:val="22"/>
        </w:rPr>
        <w:t xml:space="preserve">Spain, with a population similar to Germany’s, averages just 90,865 Mt CO₂e in transport emissions, roughly 57% of Germany’s figure. The Netherlands, despite being Europe’s largest port economy by throughput, averages only 31,497 Mt CO₂e, reflecting its smaller territory and compact logistics geography. Poland’s transport emissions have grown substantially over the study period, rising from 27,693 Mt in 2000 to over 70,000 Mt by 2022 and tracking directly with its logistics expansion.</w:t>
      </w:r>
    </w:p>
    <w:p>
      <w:pPr>
        <w:spacing w:after="120" w:before="120"/>
      </w:pPr>
    </w:p>
    <w:p>
      <w:pPr>
        <w:pStyle w:val="Heading2"/>
        <w:spacing w:after="80" w:before="200"/>
      </w:pPr>
      <w:r>
        <w:rPr>
          <w:rFonts w:ascii="Arial" w:cs="Arial" w:eastAsia="Arial" w:hAnsi="Arial"/>
          <w:b/>
          <w:bCs/>
          <w:color w:val="2E8B57"/>
          <w:sz w:val="25"/>
          <w:szCs w:val="25"/>
        </w:rPr>
        <w:t xml:space="preserve">Emissions Trajectory</w:t>
      </w:r>
    </w:p>
    <w:p>
      <w:pPr>
        <w:spacing w:after="80" w:before="80" w:line="276"/>
      </w:pPr>
      <w:r>
        <w:rPr>
          <w:rFonts w:ascii="Arial" w:cs="Arial" w:eastAsia="Arial" w:hAnsi="Arial"/>
          <w:sz w:val="22"/>
          <w:szCs w:val="22"/>
        </w:rPr>
        <w:t xml:space="preserve">Germany’s transport emissions have been declining since their early-2000s peak. The country has achieved a 20.4% reduction from its 2000 level to 2023, falling from approximately 178,000 Mt to 145,000 Mt CO₂e. This is real progress and should not be dismissed. However, two contextual factors qualify that progress:</w:t>
      </w:r>
    </w:p>
    <w:p>
      <w:pPr>
        <w:spacing w:after="80" w:before="80"/>
      </w:pPr>
    </w:p>
    <w:p>
      <w:pPr>
        <w:pStyle w:val="ListParagraph"/>
        <w:numPr>
          <w:ilvl w:val="0"/>
          <w:numId w:val="2"/>
        </w:numPr>
        <w:spacing w:after="60" w:before="60"/>
      </w:pPr>
      <w:r>
        <w:rPr>
          <w:rFonts w:ascii="Arial" w:cs="Arial" w:eastAsia="Arial" w:hAnsi="Arial"/>
          <w:sz w:val="22"/>
          <w:szCs w:val="22"/>
        </w:rPr>
        <w:t xml:space="preserve">The bulk of the reduction occurred between 2007 and 2015, driven in part by the post-financial crisis contraction in industrial activity. The subsequent recovery period saw emissions plateau rather than continue declining.</w:t>
      </w:r>
    </w:p>
    <w:p>
      <w:pPr>
        <w:pStyle w:val="ListParagraph"/>
        <w:numPr>
          <w:ilvl w:val="0"/>
          <w:numId w:val="2"/>
        </w:numPr>
        <w:spacing w:after="60" w:before="60"/>
      </w:pPr>
      <w:r>
        <w:rPr>
          <w:rFonts w:ascii="Arial" w:cs="Arial" w:eastAsia="Arial" w:hAnsi="Arial"/>
          <w:sz w:val="22"/>
          <w:szCs w:val="22"/>
        </w:rPr>
        <w:t xml:space="preserve">The absolute emissions level remains the highest in the comparison group, meaning Germany has reduced from a disproportionately high baseline. The gap to France has narrowed but not closed.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
              <w:bottom w:val="single" w:color="2E8B57" w:sz="1"/>
              <w:right w:val="single" w:color="2E8B57" w:sz="1"/>
            </w:tcBorders>
            <w:shd w:fill="E8F5EE" w:val="clear"/>
            <w:tcMar>
              <w:top w:type="dxa" w:w="140"/>
              <w:left w:type="dxa" w:w="240"/>
              <w:bottom w:type="dxa" w:w="140"/>
              <w:right w:type="dxa" w:w="240"/>
            </w:tcMar>
          </w:tcPr>
          <w:p>
            <w:pPr>
              <w:spacing w:after="60" w:before="0"/>
            </w:pPr>
            <w:r>
              <w:rPr>
                <w:rFonts w:ascii="Arial" w:cs="Arial" w:eastAsia="Arial" w:hAnsi="Arial"/>
                <w:b/>
                <w:bCs/>
                <w:color w:val="155724"/>
                <w:sz w:val="24"/>
                <w:szCs w:val="24"/>
              </w:rPr>
              <w:t xml:space="preserve">H2 Verdict: Confirmed</w:t>
            </w:r>
          </w:p>
          <w:p>
            <w:pPr>
              <w:spacing w:after="0" w:before="0"/>
            </w:pPr>
            <w:r>
              <w:rPr>
                <w:rFonts w:ascii="Arial" w:cs="Arial" w:eastAsia="Arial" w:hAnsi="Arial"/>
                <w:sz w:val="21"/>
                <w:szCs w:val="21"/>
              </w:rPr>
              <w:t xml:space="preserve">Germany’s transport sector emits disproportionately more than comparable EU economies. The claim holds across the full study period. A 20.4% reduction since 2000 is meaningful but leaves Germany with the highest absolute transport emissions of all five countries analysed.</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H3 — The Mitigation Gap</w:t>
      </w:r>
    </w:p>
    <w:p>
      <w:pPr>
        <w:spacing w:after="120" w:before="0"/>
      </w:pPr>
      <w:r>
        <w:rPr>
          <w:rFonts w:ascii="Arial" w:cs="Arial" w:eastAsia="Arial" w:hAnsi="Arial"/>
          <w:b/>
          <w:bCs/>
          <w:i/>
          <w:iCs/>
          <w:sz w:val="22"/>
          <w:szCs w:val="22"/>
        </w:rPr>
        <w:t xml:space="preserve">Claim: </w:t>
      </w:r>
      <w:r>
        <w:rPr>
          <w:rFonts w:ascii="Arial" w:cs="Arial" w:eastAsia="Arial" w:hAnsi="Arial"/>
          <w:i/>
          <w:iCs/>
          <w:color w:val="555555"/>
          <w:sz w:val="22"/>
          <w:szCs w:val="22"/>
        </w:rPr>
        <w:t xml:space="preserve">Despite Germany’s climate reputation, the gap between its logistics environmental impact and its mitigation efforts is larger than its green image suggests.</w:t>
      </w:r>
    </w:p>
    <w:p>
      <w:pPr>
        <w:spacing w:after="80" w:before="80" w:line="276"/>
      </w:pPr>
      <w:r>
        <w:rPr>
          <w:rFonts w:ascii="Arial" w:cs="Arial" w:eastAsia="Arial" w:hAnsi="Arial"/>
          <w:sz w:val="22"/>
          <w:szCs w:val="22"/>
        </w:rPr>
        <w:t xml:space="preserve">This is the most nuanced finding of the project. Germany has made genuine progress on emissions reduction, and its recycling infrastructure is one of the most developed in Europe. The issue is not that mitigation efforts are absent; it is that they are mismatched in scale relative to the environmental impact being generated.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−20.4%</w:t>
            </w:r>
          </w:p>
          <w:p>
            <w:pPr>
              <w:spacing w:after="0" w:before="0"/>
              <w:jc w:val="center"/>
            </w:pPr>
            <w:r>
              <w:rPr>
                <w:rFonts w:ascii="Arial" w:cs="Arial" w:eastAsia="Arial" w:hAnsi="Arial"/>
                <w:color w:val="555555"/>
                <w:sz w:val="18"/>
                <w:szCs w:val="18"/>
              </w:rPr>
              <w:t xml:space="preserve">Germany transport emissions reduction (2000–2023)</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+8.7%</w:t>
            </w:r>
          </w:p>
          <w:p>
            <w:pPr>
              <w:spacing w:after="0" w:before="0"/>
              <w:jc w:val="center"/>
            </w:pPr>
            <w:r>
              <w:rPr>
                <w:rFonts w:ascii="Arial" w:cs="Arial" w:eastAsia="Arial" w:hAnsi="Arial"/>
                <w:color w:val="555555"/>
                <w:sz w:val="18"/>
                <w:szCs w:val="18"/>
              </w:rPr>
              <w:t xml:space="preserve">Germany recycling growth (2010–2022)</w:t>
            </w:r>
          </w:p>
        </w:tc>
        <w:tc>
          <w:tcPr>
            <w:tcW w:type="dxa" w:w="80"/>
            <w:tcBorders>
              <w:top w:val="none" w:color="FFFFFF" w:sz="0"/>
              <w:left w:val="none" w:color="FFFFFF" w:sz="0"/>
              <w:bottom w:val="none" w:color="FFFFFF" w:sz="0"/>
              <w:right w:val="none" w:color="FFFFFF" w:sz="0"/>
            </w:tcBorders>
          </w:tcPr>
          <w:p/>
        </w:tc>
        <w:tc>
          <w:tcPr>
            <w:tcW w:type="dxa" w:w="3080"/>
            <w:tcBorders>
              <w:top w:val="single" w:color="2E8B57" w:sz="1"/>
              <w:left w:val="single" w:color="2E8B57" w:sz="1"/>
              <w:bottom w:val="single" w:color="2E8B57" w:sz="1"/>
              <w:right w:val="single" w:color="2E8B57" w:sz="1"/>
            </w:tcBorders>
            <w:shd w:fill="E8F5EE" w:val="clear"/>
            <w:tcMar>
              <w:top w:type="dxa" w:w="120"/>
              <w:left w:type="dxa" w:w="180"/>
              <w:bottom w:type="dxa" w:w="120"/>
              <w:right w:type="dxa" w:w="180"/>
            </w:tcMar>
          </w:tcPr>
          <w:p>
            <w:pPr>
              <w:spacing w:after="30" w:before="0"/>
              <w:jc w:val="center"/>
            </w:pPr>
            <w:r>
              <w:rPr>
                <w:rFonts w:ascii="Arial" w:cs="Arial" w:eastAsia="Arial" w:hAnsi="Arial"/>
                <w:b/>
                <w:bCs/>
                <w:color w:val="1A5C38"/>
                <w:sz w:val="34"/>
                <w:szCs w:val="34"/>
              </w:rPr>
              <w:t xml:space="preserve">160.3Mt avg</w:t>
            </w:r>
          </w:p>
          <w:p>
            <w:pPr>
              <w:spacing w:after="0" w:before="0"/>
              <w:jc w:val="center"/>
            </w:pPr>
            <w:r>
              <w:rPr>
                <w:rFonts w:ascii="Arial" w:cs="Arial" w:eastAsia="Arial" w:hAnsi="Arial"/>
                <w:color w:val="555555"/>
                <w:sz w:val="18"/>
                <w:szCs w:val="18"/>
              </w:rPr>
              <w:t xml:space="preserve">Waste recycled annually (Germany)</w:t>
            </w:r>
          </w:p>
        </w:tc>
      </w:tr>
    </w:tbl>
    <w:p>
      <w:pPr>
        <w:spacing w:after="120" w:before="120"/>
      </w:pPr>
    </w:p>
    <w:p>
      <w:pPr>
        <w:pStyle w:val="Heading2"/>
        <w:spacing w:after="80" w:before="200"/>
      </w:pPr>
      <w:r>
        <w:rPr>
          <w:rFonts w:ascii="Arial" w:cs="Arial" w:eastAsia="Arial" w:hAnsi="Arial"/>
          <w:b/>
          <w:bCs/>
          <w:color w:val="2E8B57"/>
          <w:sz w:val="25"/>
          <w:szCs w:val="25"/>
        </w:rPr>
        <w:t xml:space="preserve">The Numbers</w:t>
      </w:r>
    </w:p>
    <w:p>
      <w:pPr>
        <w:spacing w:after="80" w:before="80" w:line="276"/>
      </w:pPr>
      <w:r>
        <w:rPr>
          <w:rFonts w:ascii="Arial" w:cs="Arial" w:eastAsia="Arial" w:hAnsi="Arial"/>
          <w:sz w:val="22"/>
          <w:szCs w:val="22"/>
        </w:rPr>
        <w:t xml:space="preserve">Germany’s transport emissions fell 20.4% between 2000 and 2023, over a 24-year period. Its waste recycling volumes grew by 8.7% between 2010 and 2022, over a 12-year period. Both figures are moving in the right direction. However, the asymmetry is significant: Germany continues to run one of the continent’s most carbon-intensive transport operations, while its circular economy indicators have grown only modestly.</w:t>
      </w:r>
    </w:p>
    <w:p>
      <w:pPr>
        <w:spacing w:after="80" w:before="80"/>
      </w:pPr>
    </w:p>
    <w:p>
      <w:pPr>
        <w:spacing w:after="80" w:before="80" w:line="276"/>
      </w:pPr>
      <w:r>
        <w:rPr>
          <w:rFonts w:ascii="Arial" w:cs="Arial" w:eastAsia="Arial" w:hAnsi="Arial"/>
          <w:sz w:val="22"/>
          <w:szCs w:val="22"/>
        </w:rPr>
        <w:t xml:space="preserve">The dual-axis chart produced in the EDA notebook, which plots Germany’s transport emissions against its recycled waste volumes on the same timeline, makes the structural tension visible. Between 2018 and 2022, recycling volumes actually declined slightly (from 165.7 Mt to 163.6 Mt), even as emissions reductions also slowed. The COVID-19 period (2020–2021) introduced disruptions to both logistics volumes and waste processing that partially account for these plateaus, but the post-COVID recovery has not re-established consistent improvement in either metric.</w:t>
      </w:r>
    </w:p>
    <w:p>
      <w:pPr>
        <w:spacing w:after="120" w:before="120"/>
      </w:pPr>
    </w:p>
    <w:p>
      <w:pPr>
        <w:pStyle w:val="Heading2"/>
        <w:spacing w:after="80" w:before="200"/>
      </w:pPr>
      <w:r>
        <w:rPr>
          <w:rFonts w:ascii="Arial" w:cs="Arial" w:eastAsia="Arial" w:hAnsi="Arial"/>
          <w:b/>
          <w:bCs/>
          <w:color w:val="2E8B57"/>
          <w:sz w:val="25"/>
          <w:szCs w:val="25"/>
        </w:rPr>
        <w:t xml:space="preserve">Cross-Country Context</w:t>
      </w:r>
    </w:p>
    <w:p>
      <w:pPr>
        <w:spacing w:after="80" w:before="80" w:line="276"/>
      </w:pPr>
      <w:r>
        <w:rPr>
          <w:rFonts w:ascii="Arial" w:cs="Arial" w:eastAsia="Arial" w:hAnsi="Arial"/>
          <w:sz w:val="22"/>
          <w:szCs w:val="22"/>
        </w:rPr>
        <w:t xml:space="preserve">Germany is not an outlier in the wrong direction on recycling; its 160.3 Mt annual average is broadly comparable to France (158.4 Mt) despite a significantly larger industrial base. The Netherlands recycles 61 Mt per year with a population one-fifth the size, reflecting some of Europe’s most sophisticated waste processing infrastructure on a per-capita basis. Poland’s recycling has grown substantially (from 45 Mt in 2010 to 92 Mt in 2022), tracking its wider industrial development.</w:t>
      </w:r>
    </w:p>
    <w:p>
      <w:pPr>
        <w:spacing w:after="80" w:before="80"/>
      </w:pPr>
    </w:p>
    <w:p>
      <w:pPr>
        <w:spacing w:after="80" w:before="80" w:line="276"/>
      </w:pPr>
      <w:r>
        <w:rPr>
          <w:rFonts w:ascii="Arial" w:cs="Arial" w:eastAsia="Arial" w:hAnsi="Arial"/>
          <w:sz w:val="22"/>
          <w:szCs w:val="22"/>
        </w:rPr>
        <w:t xml:space="preserve">The point is not that Germany is recycling less than peers in absolute terms; it is that the scale of its logistics operation and transport emissions requires a proportionally more ambitious mitigation response than 8.7% recycling growth over 12 years delivers.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0A" w:sz="1"/>
              <w:left w:val="single" w:color="D4830A" w:sz="1"/>
              <w:bottom w:val="single" w:color="D4830A" w:sz="1"/>
              <w:right w:val="single" w:color="D4830A" w:sz="1"/>
            </w:tcBorders>
            <w:shd w:fill="FFF3CD" w:val="clear"/>
            <w:tcMar>
              <w:top w:type="dxa" w:w="140"/>
              <w:left w:type="dxa" w:w="240"/>
              <w:bottom w:type="dxa" w:w="140"/>
              <w:right w:type="dxa" w:w="240"/>
            </w:tcMar>
          </w:tcPr>
          <w:p>
            <w:pPr>
              <w:spacing w:after="60" w:before="0"/>
            </w:pPr>
            <w:r>
              <w:rPr>
                <w:rFonts w:ascii="Arial" w:cs="Arial" w:eastAsia="Arial" w:hAnsi="Arial"/>
                <w:b/>
                <w:bCs/>
                <w:color w:val="856404"/>
                <w:sz w:val="24"/>
                <w:szCs w:val="24"/>
              </w:rPr>
              <w:t xml:space="preserve">H3 Verdict: Partial</w:t>
            </w:r>
          </w:p>
          <w:p>
            <w:pPr>
              <w:spacing w:after="0" w:before="0"/>
            </w:pPr>
            <w:r>
              <w:rPr>
                <w:rFonts w:ascii="Arial" w:cs="Arial" w:eastAsia="Arial" w:hAnsi="Arial"/>
                <w:sz w:val="21"/>
                <w:szCs w:val="21"/>
              </w:rPr>
              <w:t xml:space="preserve">Emissions down 20.4%, recycling up 8.7%. Progress is real but the two curves are not matched in ambition or scale. Germany’s green reputation is ahead of its green reality when viewed through the lens of logistics environmental performance.</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Business Implications</w:t>
      </w:r>
    </w:p>
    <w:p>
      <w:pPr>
        <w:spacing w:after="80" w:before="80" w:line="276"/>
      </w:pPr>
      <w:r>
        <w:rPr>
          <w:rFonts w:ascii="Arial" w:cs="Arial" w:eastAsia="Arial" w:hAnsi="Arial"/>
          <w:sz w:val="22"/>
          <w:szCs w:val="22"/>
        </w:rPr>
        <w:t xml:space="preserve">The data produces four clear, actionable implications for businesses operating in or expanding into European logistics markets.</w:t>
      </w:r>
    </w:p>
    <w:p>
      <w:pPr>
        <w:spacing w:after="120" w:before="120"/>
      </w:pPr>
    </w:p>
    <w:p>
      <w:pPr>
        <w:pStyle w:val="Heading2"/>
        <w:spacing w:after="80" w:before="200"/>
      </w:pPr>
      <w:r>
        <w:rPr>
          <w:rFonts w:ascii="Arial" w:cs="Arial" w:eastAsia="Arial" w:hAnsi="Arial"/>
          <w:b/>
          <w:bCs/>
          <w:color w:val="2E8B57"/>
          <w:sz w:val="25"/>
          <w:szCs w:val="25"/>
        </w:rPr>
        <w:t xml:space="preserve">1. Rethink Your European Logistics Anchor</w:t>
      </w:r>
    </w:p>
    <w:p>
      <w:pPr>
        <w:spacing w:after="80" w:before="80" w:line="276"/>
      </w:pPr>
      <w:r>
        <w:rPr>
          <w:rFonts w:ascii="Arial" w:cs="Arial" w:eastAsia="Arial" w:hAnsi="Arial"/>
          <w:sz w:val="22"/>
          <w:szCs w:val="22"/>
        </w:rPr>
        <w:t xml:space="preserve">Germany has been the backbone of European logistics for decades, with the infrastructure, volume, and consumer base all pointing there first. But the data shows Poland has overtaken Germany in road freight in recent years, driven by nearshoring, manufacturing relocation, and e-commerce growth. Businesses still designing their European distribution strategy around Germany alone are working with an outdated map.</w:t>
      </w:r>
    </w:p>
    <w:p>
      <w:pPr>
        <w:spacing w:after="80" w:before="80"/>
      </w:pPr>
    </w:p>
    <w:p>
      <w:pPr>
        <w:spacing w:after="80" w:before="80" w:line="276"/>
      </w:pPr>
      <w:r>
        <w:rPr>
          <w:rFonts w:ascii="Arial" w:cs="Arial" w:eastAsia="Arial" w:hAnsi="Arial"/>
          <w:sz w:val="22"/>
          <w:szCs w:val="22"/>
        </w:rPr>
        <w:t xml:space="preserve">The next logistics frontier is Poland, and the time to position there is now, before capacity tightens and costs rise. Poland’s road freight grew from 102,807 million TKM in 2000 to 385,089 million TKM by the end of the study period. That is not noise. That is a structural shift in the geography of European logistics.</w:t>
      </w:r>
    </w:p>
    <w:p>
      <w:pPr>
        <w:spacing w:after="120" w:before="120"/>
      </w:pPr>
    </w:p>
    <w:p>
      <w:pPr>
        <w:pStyle w:val="Heading2"/>
        <w:spacing w:after="80" w:before="200"/>
      </w:pPr>
      <w:r>
        <w:rPr>
          <w:rFonts w:ascii="Arial" w:cs="Arial" w:eastAsia="Arial" w:hAnsi="Arial"/>
          <w:b/>
          <w:bCs/>
          <w:color w:val="2E8B57"/>
          <w:sz w:val="25"/>
          <w:szCs w:val="25"/>
        </w:rPr>
        <w:t xml:space="preserve">2. Germany Remains Your Highest-Value E-Commerce Market</w:t>
      </w:r>
    </w:p>
    <w:p>
      <w:pPr>
        <w:spacing w:after="80" w:before="80" w:line="276"/>
      </w:pPr>
      <w:r>
        <w:rPr>
          <w:rFonts w:ascii="Arial" w:cs="Arial" w:eastAsia="Arial" w:hAnsi="Arial"/>
          <w:sz w:val="22"/>
          <w:szCs w:val="22"/>
        </w:rPr>
        <w:t xml:space="preserve">Germany processes over 3x more parcels per person than France. That is not just a logistics story; it reflects deeper e-commerce penetration, stronger consumer spending power, and a mature delivery infrastructure. For any retailer or platform planning European expansion, Germany should remain the anchor market for revenue. The parcel gap over its neighbours is large and still growing, with Germany averaging 1,606,644 parcels per inhabitant versus France’s approximately 500,000.</w:t>
      </w:r>
    </w:p>
    <w:p>
      <w:pPr>
        <w:spacing w:after="80" w:before="80"/>
      </w:pPr>
    </w:p>
    <w:p>
      <w:pPr>
        <w:spacing w:after="80" w:before="80" w:line="276"/>
      </w:pPr>
      <w:r>
        <w:rPr>
          <w:rFonts w:ascii="Arial" w:cs="Arial" w:eastAsia="Arial" w:hAnsi="Arial"/>
          <w:sz w:val="22"/>
          <w:szCs w:val="22"/>
        </w:rPr>
        <w:t xml:space="preserve">Track parcel volume trends as a leading indicator of consumer spending health across EU markets. The correlation between parcel volumes and household discretionary spending has remained consistent across the study period.</w:t>
      </w:r>
    </w:p>
    <w:p>
      <w:pPr>
        <w:spacing w:after="120" w:before="120"/>
      </w:pPr>
    </w:p>
    <w:p>
      <w:pPr>
        <w:pStyle w:val="Heading2"/>
        <w:spacing w:after="80" w:before="200"/>
      </w:pPr>
      <w:r>
        <w:rPr>
          <w:rFonts w:ascii="Arial" w:cs="Arial" w:eastAsia="Arial" w:hAnsi="Arial"/>
          <w:b/>
          <w:bCs/>
          <w:color w:val="2E8B57"/>
          <w:sz w:val="25"/>
          <w:szCs w:val="25"/>
        </w:rPr>
        <w:t xml:space="preserve">3. Disposable Income Is the Real Driver of the Parcel Gap</w:t>
      </w:r>
    </w:p>
    <w:p>
      <w:pPr>
        <w:spacing w:after="80" w:before="80" w:line="276"/>
      </w:pPr>
      <w:r>
        <w:rPr>
          <w:rFonts w:ascii="Arial" w:cs="Arial" w:eastAsia="Arial" w:hAnsi="Arial"/>
          <w:sz w:val="22"/>
          <w:szCs w:val="22"/>
        </w:rPr>
        <w:t xml:space="preserve">The difference in parcel volumes between Germany and countries like Spain and the Netherlands is not simply about infrastructure. It reflects real differences in household disposable income and consumer confidence. Businesses selling discretionary goods should weight their marketing and fulfilment investment toward Germany and France accordingly. The parcel volume data is a better real-time proxy for consumer health than many lagging economic indicators.</w:t>
      </w:r>
    </w:p>
    <w:p>
      <w:pPr>
        <w:spacing w:after="120" w:before="120"/>
      </w:pPr>
    </w:p>
    <w:p>
      <w:pPr>
        <w:pStyle w:val="Heading2"/>
        <w:spacing w:after="80" w:before="200"/>
      </w:pPr>
      <w:r>
        <w:rPr>
          <w:rFonts w:ascii="Arial" w:cs="Arial" w:eastAsia="Arial" w:hAnsi="Arial"/>
          <w:b/>
          <w:bCs/>
          <w:color w:val="2E8B57"/>
          <w:sz w:val="25"/>
          <w:szCs w:val="25"/>
        </w:rPr>
        <w:t xml:space="preserve">4. Use Germany as Your ESG Logistics Benchmark, With Caveats</w:t>
      </w:r>
    </w:p>
    <w:p>
      <w:pPr>
        <w:spacing w:after="80" w:before="80" w:line="276"/>
      </w:pPr>
      <w:r>
        <w:rPr>
          <w:rFonts w:ascii="Arial" w:cs="Arial" w:eastAsia="Arial" w:hAnsi="Arial"/>
          <w:sz w:val="22"/>
          <w:szCs w:val="22"/>
        </w:rPr>
        <w:t xml:space="preserve">Germany’s transport emissions fell 20% between 2000 and 2023 while parcel volumes tripled and recycling grew modestly. That combination of scale growth alongside improving environmental performance is rare, and for sustainability and ESG teams setting science-based targets for logistics-heavy operations, Germany’s trajectory is the closest thing to a proven model in Europe.</w:t>
      </w:r>
    </w:p>
    <w:p>
      <w:pPr>
        <w:spacing w:after="80" w:before="80"/>
      </w:pPr>
    </w:p>
    <w:p>
      <w:pPr>
        <w:spacing w:after="80" w:before="80" w:line="276"/>
      </w:pPr>
      <w:r>
        <w:rPr>
          <w:rFonts w:ascii="Arial" w:cs="Arial" w:eastAsia="Arial" w:hAnsi="Arial"/>
          <w:sz w:val="22"/>
          <w:szCs w:val="22"/>
        </w:rPr>
        <w:t xml:space="preserve">The caveat is important: Germany’s absolute emissions remain the highest of all five countries. Using Germany as a benchmark means benchmarking against a leader that is still the largest emitter in its peer group. For companies serious about net-zero logistics, Germany provides the trajectory model but not the destination. The Netherlands, with far lower absolute emissions per unit of logistics output, is the more ambitious benchmark for where the industry needs to go.</w:t>
      </w:r>
    </w:p>
    <w:p>
      <w:pPr>
        <w:spacing w:after="200" w:before="200"/>
      </w:pPr>
    </w:p>
    <w:p>
      <w:r>
        <w:br w:type="page"/>
      </w:r>
    </w:p>
    <w:p>
      <w:pPr>
        <w:pStyle w:val="Heading1"/>
        <w:spacing w:after="120" w:before="280"/>
      </w:pPr>
      <w:r>
        <w:rPr>
          <w:rFonts w:ascii="Arial" w:cs="Arial" w:eastAsia="Arial" w:hAnsi="Arial"/>
          <w:b/>
          <w:bCs/>
          <w:color w:val="1A5C38"/>
          <w:sz w:val="30"/>
          <w:szCs w:val="30"/>
        </w:rPr>
        <w:t xml:space="preserve">Data Quality &amp; Methodology Notes</w:t>
      </w:r>
    </w:p>
    <w:p>
      <w:pPr>
        <w:spacing w:after="80" w:before="80" w:line="276"/>
      </w:pPr>
      <w:r>
        <w:rPr>
          <w:rFonts w:ascii="Arial" w:cs="Arial" w:eastAsia="Arial" w:hAnsi="Arial"/>
          <w:sz w:val="22"/>
          <w:szCs w:val="22"/>
        </w:rPr>
        <w:t xml:space="preserve">Analytical transparency requires explicit acknowledgment of the data limitations that affect this project’s conclusions.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9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Germany 2016 letter mail anomaly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of 1.25M items is 83% below adjacent years with no identifiable market event. Excluded from trend analysis and flagged in all visualisations. The cleaned trend line uses NaN interpolation.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Germany &amp; France parcel NaN values (2014–2015)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reporting gaps in the EC GROW dataset, not data errors. Values linearly interpolated for Tableau visualisation only; raw data retains NaNs.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Recycling data is biennial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Eurostat publishes recycling rates every two years, not annually. Trend lines in charts connect even-year data points. The slower reporting cadence means recycling trends lag emissions trends in apparent responsiveness.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UK excluded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Eurostat coverage gaps post-Brexit make UK data unreliable for comparison. Excluded from all analysis.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 emissions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 filtered to ‘Fuel combustion in transport’ (CRF sector 1.A.3) from the Eurostat env_air_gge dataset. This excludes non-combustion transport emissions (e.g. refrigerants, brake dust). The Energy sector total was excluded to avoid double-counting.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Poland road freight growth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Poland’s road freight data starts from 2000 but with fewer historical data points than Germany (21 vs 25 rows) due to later EU accession reporting requirements. This does not affect the trend direction.</w:t>
            </w:r>
          </w:p>
        </w:tc>
      </w:tr>
    </w:tbl>
    <w:p>
      <w:pPr>
        <w:spacing w:after="200" w:before="200"/>
      </w:pPr>
    </w:p>
    <w:p>
      <w:r>
        <w:br w:type="page"/>
      </w:r>
    </w:p>
    <w:p>
      <w:pPr>
        <w:pStyle w:val="Heading1"/>
        <w:spacing w:after="120" w:before="280"/>
      </w:pPr>
      <w:r>
        <w:rPr>
          <w:rFonts w:ascii="Arial" w:cs="Arial" w:eastAsia="Arial" w:hAnsi="Arial"/>
          <w:b/>
          <w:bCs/>
          <w:color w:val="1A5C38"/>
          <w:sz w:val="30"/>
          <w:szCs w:val="30"/>
        </w:rPr>
        <w:t xml:space="preserve">Conclusion</w:t>
      </w:r>
    </w:p>
    <w:p>
      <w:pPr>
        <w:spacing w:after="80" w:before="80" w:line="276"/>
      </w:pPr>
      <w:r>
        <w:rPr>
          <w:rFonts w:ascii="Arial" w:cs="Arial" w:eastAsia="Arial" w:hAnsi="Arial"/>
          <w:sz w:val="22"/>
          <w:szCs w:val="22"/>
        </w:rPr>
        <w:t xml:space="preserve">Germany cannot credibly hold both claims simultaneously, at least not yet. The data supports Germany being a logistics giant. It partially supports Germany being a climate leader. The problem is the combination: the scale of the logistics operation makes the climate commitments structurally harder to fulfil, and the mitigation efforts to date have not closed that gap.</w:t>
      </w:r>
    </w:p>
    <w:p>
      <w:pPr>
        <w:spacing w:after="80" w:before="80"/>
      </w:pPr>
    </w:p>
    <w:p>
      <w:pPr>
        <w:spacing w:after="80" w:before="80" w:line="276"/>
      </w:pPr>
      <w:r>
        <w:rPr>
          <w:rFonts w:ascii="Arial" w:cs="Arial" w:eastAsia="Arial" w:hAnsi="Arial"/>
          <w:sz w:val="22"/>
          <w:szCs w:val="22"/>
        </w:rPr>
        <w:t xml:space="preserve">That is not a condemnation. A 20.4% reduction in transport emissions while more than doubling parcel volumes is a meaningful achievement. The question is whether it is enough, and whether the rate of improvement matches the scale of the problem. On that measure, the answer the data gives is: not yet.</w:t>
      </w:r>
    </w:p>
    <w:p>
      <w:pPr>
        <w:spacing w:after="80" w:before="80"/>
      </w:pPr>
    </w:p>
    <w:p>
      <w:pPr>
        <w:spacing w:after="80" w:before="80" w:line="276"/>
      </w:pPr>
      <w:r>
        <w:rPr>
          <w:rFonts w:ascii="Arial" w:cs="Arial" w:eastAsia="Arial" w:hAnsi="Arial"/>
          <w:sz w:val="22"/>
          <w:szCs w:val="22"/>
        </w:rPr>
        <w:t xml:space="preserve">The more consequential finding for practitioners may be the Poland story. The shift in European logistics gravity from Germany to Poland is already underway in the freight data. It has not yet been fully priced into European supply chain strategy. That is the finding with the most immediate commercial implications.</w:t>
      </w:r>
    </w:p>
    <w:p>
      <w:pPr>
        <w:spacing w:after="200" w:before="200"/>
      </w:pPr>
    </w:p>
    <w:p>
      <w:pPr>
        <w:pBdr>
          <w:bottom w:val="single" w:color="2E8B57" w:sz="4" w:space="1"/>
        </w:pBdr>
        <w:spacing w:after="200" w:before="200"/>
      </w:pPr>
    </w:p>
    <w:p>
      <w:pPr>
        <w:spacing w:after="80" w:before="80"/>
      </w:pPr>
    </w:p>
    <w:p>
      <w:pPr>
        <w:jc w:val="right"/>
      </w:pPr>
      <w:r>
        <w:rPr>
          <w:rFonts w:ascii="Arial" w:cs="Arial" w:eastAsia="Arial" w:hAnsi="Arial"/>
          <w:i/>
          <w:iCs/>
          <w:color w:val="888888"/>
          <w:sz w:val="18"/>
          <w:szCs w:val="18"/>
        </w:rPr>
        <w:t xml:space="preserve">All data: Eurostat API (2000–2024) | EC GROW Postal Statistics / IPC GrowPost CUBE (2012–2024)</w:t>
      </w:r>
    </w:p>
    <w:p>
      <w:pPr>
        <w:jc w:val="right"/>
      </w:pPr>
      <w:r>
        <w:rPr>
          <w:rFonts w:ascii="Arial" w:cs="Arial" w:eastAsia="Arial" w:hAnsi="Arial"/>
          <w:i/>
          <w:iCs/>
          <w:color w:val="888888"/>
          <w:sz w:val="18"/>
          <w:szCs w:val="18"/>
        </w:rPr>
        <w:t xml:space="preserve">Analysis &amp; pipeline: Abdulbasit Ayoade | github.com/basseat/green-miles-problem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57" w:sz="4" w:space="4"/>
      </w:pBdr>
      <w:jc w:val="right"/>
    </w:pPr>
    <w:r>
      <w:rPr>
        <w:rFonts w:ascii="Arial" w:cs="Arial" w:eastAsia="Arial" w:hAnsi="Arial"/>
        <w:color w:val="666666"/>
        <w:sz w:val="18"/>
        <w:szCs w:val="18"/>
      </w:rPr>
      <w:t xml:space="preserve">Abdulbasit Ayoade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57" w:sz="4" w:space="4"/>
      </w:pBdr>
    </w:pPr>
    <w:r>
      <w:rPr>
        <w:rFonts w:ascii="Arial" w:cs="Arial" w:eastAsia="Arial" w:hAnsi="Arial"/>
        <w:b/>
        <w:bCs/>
        <w:color w:val="1A5C38"/>
        <w:sz w:val="18"/>
        <w:szCs w:val="18"/>
      </w:rPr>
      <w:t xml:space="preserve">THE GREEN MILES PROBLEM</w:t>
    </w:r>
    <w:r>
      <w:rPr>
        <w:rFonts w:ascii="Arial" w:cs="Arial" w:eastAsia="Arial" w:hAnsi="Arial"/>
        <w:color w:val="666666"/>
        <w:sz w:val="18"/>
        <w:szCs w:val="18"/>
      </w:rPr>
      <w:t xml:space="preserve">   |   European Logistics, Emissions &amp; Sustainability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5C38"/>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8B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2026-06-09T02:39:11.121Z</dcterms:created>
  <dcterms:modified xsi:type="dcterms:W3CDTF">2026-06-09T02:39:11.121Z</dcterms:modified>
</cp:coreProperties>
</file>

<file path=docProps/custom.xml><?xml version="1.0" encoding="utf-8"?>
<Properties xmlns="http://schemas.openxmlformats.org/officeDocument/2006/custom-properties" xmlns:vt="http://schemas.openxmlformats.org/officeDocument/2006/docPropsVTypes"/>
</file>