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34173" w14:textId="4D7E8AA6" w:rsidR="00A40751" w:rsidRPr="00D05C14" w:rsidRDefault="00000000" w:rsidP="00D05C14">
      <w:pPr>
        <w:pStyle w:val="Ttulo1"/>
        <w:rPr>
          <w:lang w:val="es-ES"/>
        </w:rPr>
      </w:pPr>
      <w:proofErr w:type="spellStart"/>
      <w:r w:rsidRPr="00D05C14">
        <w:rPr>
          <w:lang w:val="es-ES"/>
        </w:rPr>
        <w:t>Deliris</w:t>
      </w:r>
      <w:proofErr w:type="spellEnd"/>
      <w:r w:rsidRPr="00D05C14">
        <w:rPr>
          <w:lang w:val="es-ES"/>
        </w:rPr>
        <w:t xml:space="preserve"> — resultados (CAM-ICU)</w:t>
      </w:r>
    </w:p>
    <w:p w14:paraId="11129E17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Fuente de los datos</w:t>
      </w:r>
    </w:p>
    <w:p w14:paraId="12478C82" w14:textId="77777777" w:rsidR="00A40751" w:rsidRPr="00D05C14" w:rsidRDefault="00000000">
      <w:pPr>
        <w:rPr>
          <w:lang w:val="es-ES"/>
        </w:rPr>
      </w:pPr>
      <w:r w:rsidRPr="00D05C14">
        <w:rPr>
          <w:lang w:val="es-ES"/>
        </w:rPr>
        <w:t xml:space="preserve">Todos los datos presentados en este informe se han extraído de la </w:t>
      </w:r>
      <w:r w:rsidRPr="00D05C14">
        <w:rPr>
          <w:b/>
          <w:lang w:val="es-ES"/>
        </w:rPr>
        <w:t xml:space="preserve">base de datos clínica </w:t>
      </w:r>
      <w:proofErr w:type="spellStart"/>
      <w:r w:rsidRPr="00D05C14">
        <w:rPr>
          <w:b/>
          <w:lang w:val="es-ES"/>
        </w:rPr>
        <w:t>DataNex</w:t>
      </w:r>
      <w:proofErr w:type="spellEnd"/>
      <w:r w:rsidRPr="00D05C14">
        <w:rPr>
          <w:lang w:val="es-ES"/>
        </w:rPr>
        <w:t xml:space="preserve"> del Hospital </w:t>
      </w:r>
      <w:proofErr w:type="spellStart"/>
      <w:r w:rsidRPr="00D05C14">
        <w:rPr>
          <w:lang w:val="es-ES"/>
        </w:rPr>
        <w:t>Clínic</w:t>
      </w:r>
      <w:proofErr w:type="spellEnd"/>
      <w:r w:rsidRPr="00D05C14">
        <w:rPr>
          <w:lang w:val="es-ES"/>
        </w:rPr>
        <w:t xml:space="preserve"> de Barcelona, a través de la </w:t>
      </w:r>
      <w:r w:rsidRPr="00D05C14">
        <w:rPr>
          <w:b/>
          <w:lang w:val="es-ES"/>
        </w:rPr>
        <w:t xml:space="preserve">API de </w:t>
      </w:r>
      <w:proofErr w:type="spellStart"/>
      <w:r w:rsidRPr="00D05C14">
        <w:rPr>
          <w:b/>
          <w:lang w:val="es-ES"/>
        </w:rPr>
        <w:t>Metabase</w:t>
      </w:r>
      <w:proofErr w:type="spellEnd"/>
      <w:r w:rsidRPr="00D05C14">
        <w:rPr>
          <w:lang w:val="es-ES"/>
        </w:rPr>
        <w:t xml:space="preserve"> (</w:t>
      </w:r>
      <w:r w:rsidRPr="00D05C14">
        <w:rPr>
          <w:rFonts w:ascii="Consolas" w:hAnsi="Consolas"/>
          <w:sz w:val="20"/>
          <w:lang w:val="es-ES"/>
        </w:rPr>
        <w:t>https://metabase.clinic.cat</w:t>
      </w:r>
      <w:r w:rsidRPr="00D05C14">
        <w:rPr>
          <w:lang w:val="es-ES"/>
        </w:rPr>
        <w:t xml:space="preserve">). Las consultas se ejecutan sobre la instancia AWS/Athena (dialecto Trino/Presto) en el esquema </w:t>
      </w:r>
      <w:proofErr w:type="spellStart"/>
      <w:r w:rsidRPr="00D05C14">
        <w:rPr>
          <w:rFonts w:ascii="Consolas" w:hAnsi="Consolas"/>
          <w:sz w:val="20"/>
          <w:lang w:val="es-ES"/>
        </w:rPr>
        <w:t>datascope_gestor_prod</w:t>
      </w:r>
      <w:proofErr w:type="spellEnd"/>
      <w:r w:rsidRPr="00D05C14">
        <w:rPr>
          <w:lang w:val="es-ES"/>
        </w:rPr>
        <w:t>. Las tablas implicadas son:</w:t>
      </w:r>
    </w:p>
    <w:p w14:paraId="5DE61AE3" w14:textId="77777777" w:rsidR="00A40751" w:rsidRPr="00D05C14" w:rsidRDefault="00000000">
      <w:pPr>
        <w:pStyle w:val="Listaconvietas"/>
        <w:rPr>
          <w:lang w:val="es-ES"/>
        </w:rPr>
      </w:pPr>
      <w:proofErr w:type="spellStart"/>
      <w:r w:rsidRPr="00D05C14">
        <w:rPr>
          <w:rFonts w:ascii="Consolas" w:hAnsi="Consolas"/>
          <w:sz w:val="20"/>
          <w:lang w:val="es-ES"/>
        </w:rPr>
        <w:t>movements</w:t>
      </w:r>
      <w:proofErr w:type="spellEnd"/>
      <w:r w:rsidRPr="00D05C14">
        <w:rPr>
          <w:lang w:val="es-ES"/>
        </w:rPr>
        <w:t xml:space="preserve"> — episodios y movimientos entre unidades, para definir la cohorte de estancia UCI (segmentos consecutivos unidos si el hueco entre ellos es ≤ 5 minutos).</w:t>
      </w:r>
    </w:p>
    <w:p w14:paraId="5FA25120" w14:textId="6BADDCD5" w:rsidR="00A40751" w:rsidRPr="00D05C14" w:rsidRDefault="00000000">
      <w:pPr>
        <w:pStyle w:val="Listaconvietas"/>
        <w:rPr>
          <w:lang w:val="es-ES"/>
        </w:rPr>
      </w:pPr>
      <w:proofErr w:type="spellStart"/>
      <w:r w:rsidRPr="00D05C14">
        <w:rPr>
          <w:rFonts w:ascii="Consolas" w:hAnsi="Consolas"/>
          <w:sz w:val="20"/>
          <w:lang w:val="es-ES"/>
        </w:rPr>
        <w:t>rc</w:t>
      </w:r>
      <w:proofErr w:type="spellEnd"/>
      <w:r w:rsidRPr="00D05C14">
        <w:rPr>
          <w:lang w:val="es-ES"/>
        </w:rPr>
        <w:t xml:space="preserve"> — registros clínicos: </w:t>
      </w:r>
      <w:r w:rsidRPr="00D05C14">
        <w:rPr>
          <w:rFonts w:ascii="Consolas" w:hAnsi="Consolas"/>
          <w:sz w:val="20"/>
          <w:lang w:val="es-ES"/>
        </w:rPr>
        <w:t>SEDACION_RASS</w:t>
      </w:r>
      <w:r w:rsidRPr="00D05C14">
        <w:rPr>
          <w:lang w:val="es-ES"/>
        </w:rPr>
        <w:t xml:space="preserve"> para el RASS y </w:t>
      </w:r>
      <w:r w:rsidRPr="00D05C14">
        <w:rPr>
          <w:rFonts w:ascii="Consolas" w:hAnsi="Consolas"/>
          <w:sz w:val="20"/>
          <w:lang w:val="es-ES"/>
        </w:rPr>
        <w:t>DELIRIO_CAM-ICU</w:t>
      </w:r>
      <w:r w:rsidRPr="00D05C14">
        <w:rPr>
          <w:lang w:val="es-ES"/>
        </w:rPr>
        <w:t xml:space="preserve"> para los resultados del CAM-ICU.</w:t>
      </w:r>
      <w:r w:rsidR="00D05C14" w:rsidRPr="00D05C14">
        <w:rPr>
          <w:lang w:val="es-ES"/>
        </w:rPr>
        <w:t xml:space="preserve"> No existen otros registros en IPA para el delirium </w:t>
      </w:r>
      <w:proofErr w:type="gramStart"/>
      <w:r w:rsidR="00D05C14" w:rsidRPr="00D05C14">
        <w:rPr>
          <w:lang w:val="es-ES"/>
        </w:rPr>
        <w:t>actualmente</w:t>
      </w:r>
      <w:proofErr w:type="gramEnd"/>
      <w:r w:rsidR="00D05C14" w:rsidRPr="00D05C14">
        <w:rPr>
          <w:lang w:val="es-ES"/>
        </w:rPr>
        <w:t xml:space="preserve"> aunque se está trabajando en implementar otra </w:t>
      </w:r>
      <w:r w:rsidR="00D05C14">
        <w:rPr>
          <w:lang w:val="es-ES"/>
        </w:rPr>
        <w:t>escala</w:t>
      </w:r>
      <w:r w:rsidR="00D05C14" w:rsidRPr="00D05C14">
        <w:rPr>
          <w:lang w:val="es-ES"/>
        </w:rPr>
        <w:t xml:space="preserve"> más granular. </w:t>
      </w:r>
    </w:p>
    <w:p w14:paraId="4D9C1239" w14:textId="639E4046" w:rsidR="00D05C14" w:rsidRPr="00D05C14" w:rsidRDefault="00000000">
      <w:pPr>
        <w:rPr>
          <w:lang w:val="es-ES"/>
        </w:rPr>
      </w:pPr>
      <w:r w:rsidRPr="00D05C14">
        <w:rPr>
          <w:lang w:val="es-ES"/>
        </w:rPr>
        <w:t xml:space="preserve">El detalle metodológico (definición de cohorte, codificación del RASS, ventanas temporales, criterios de inclusión por turno y por día calendario) está documentado en </w:t>
      </w:r>
      <w:r w:rsidRPr="00D05C14">
        <w:rPr>
          <w:rFonts w:ascii="Consolas" w:hAnsi="Consolas"/>
          <w:sz w:val="20"/>
          <w:lang w:val="es-ES"/>
        </w:rPr>
        <w:t>deliris/README.md</w:t>
      </w:r>
      <w:r w:rsidRPr="00D05C14">
        <w:rPr>
          <w:lang w:val="es-ES"/>
        </w:rPr>
        <w:t xml:space="preserve"> y en cada archivo </w:t>
      </w:r>
      <w:r w:rsidRPr="00D05C14">
        <w:rPr>
          <w:rFonts w:ascii="Consolas" w:hAnsi="Consolas"/>
          <w:sz w:val="20"/>
          <w:lang w:val="es-ES"/>
        </w:rPr>
        <w:t>.</w:t>
      </w:r>
      <w:proofErr w:type="spellStart"/>
      <w:r w:rsidRPr="00D05C14">
        <w:rPr>
          <w:rFonts w:ascii="Consolas" w:hAnsi="Consolas"/>
          <w:sz w:val="20"/>
          <w:lang w:val="es-ES"/>
        </w:rPr>
        <w:t>sql</w:t>
      </w:r>
      <w:proofErr w:type="spellEnd"/>
      <w:r w:rsidRPr="00D05C14">
        <w:rPr>
          <w:lang w:val="es-ES"/>
        </w:rPr>
        <w:t xml:space="preserve"> del módulo. Los CSV de partida fueron generados con </w:t>
      </w:r>
      <w:r w:rsidRPr="00D05C14">
        <w:rPr>
          <w:rFonts w:ascii="Consolas" w:hAnsi="Consolas"/>
          <w:sz w:val="20"/>
          <w:lang w:val="es-ES"/>
        </w:rPr>
        <w:t>deliris/run_sql.py</w:t>
      </w:r>
      <w:r w:rsidRPr="00D05C14">
        <w:rPr>
          <w:lang w:val="es-ES"/>
        </w:rPr>
        <w:t xml:space="preserve"> y las figuras con </w:t>
      </w:r>
      <w:proofErr w:type="spellStart"/>
      <w:r w:rsidRPr="00D05C14">
        <w:rPr>
          <w:rFonts w:ascii="Consolas" w:hAnsi="Consolas"/>
          <w:sz w:val="20"/>
          <w:lang w:val="es-ES"/>
        </w:rPr>
        <w:t>deliris</w:t>
      </w:r>
      <w:proofErr w:type="spellEnd"/>
      <w:r w:rsidRPr="00D05C14">
        <w:rPr>
          <w:rFonts w:ascii="Consolas" w:hAnsi="Consolas"/>
          <w:sz w:val="20"/>
          <w:lang w:val="es-ES"/>
        </w:rPr>
        <w:t>/camicu_plots.py</w:t>
      </w:r>
      <w:r w:rsidRPr="00D05C14">
        <w:rPr>
          <w:lang w:val="es-ES"/>
        </w:rPr>
        <w:t>.</w:t>
      </w:r>
    </w:p>
    <w:p w14:paraId="6EC7BCE9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7FA72F5A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Alcance del análisis</w:t>
      </w:r>
    </w:p>
    <w:p w14:paraId="4BD08183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 xml:space="preserve">Unidades incluidas (8 </w:t>
      </w:r>
      <w:proofErr w:type="spellStart"/>
      <w:r w:rsidRPr="00D05C14">
        <w:rPr>
          <w:b/>
          <w:lang w:val="es-ES"/>
        </w:rPr>
        <w:t>UCIs</w:t>
      </w:r>
      <w:proofErr w:type="spellEnd"/>
      <w:r w:rsidRPr="00D05C14">
        <w:rPr>
          <w:b/>
          <w:lang w:val="es-ES"/>
        </w:rPr>
        <w:t>):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E014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E015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E016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E037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E043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E057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E073</w:t>
      </w:r>
      <w:r w:rsidRPr="00D05C14">
        <w:rPr>
          <w:lang w:val="es-ES"/>
        </w:rPr>
        <w:t xml:space="preserve">, </w:t>
      </w:r>
      <w:r w:rsidRPr="00D05C14">
        <w:rPr>
          <w:rFonts w:ascii="Consolas" w:hAnsi="Consolas"/>
          <w:sz w:val="20"/>
          <w:lang w:val="es-ES"/>
        </w:rPr>
        <w:t>E103</w:t>
      </w:r>
      <w:r w:rsidRPr="00D05C14">
        <w:rPr>
          <w:lang w:val="es-ES"/>
        </w:rPr>
        <w:t>.</w:t>
      </w:r>
    </w:p>
    <w:p w14:paraId="19055522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>Años cubiertos:</w:t>
      </w:r>
      <w:r w:rsidRPr="00D05C14">
        <w:rPr>
          <w:lang w:val="es-ES"/>
        </w:rPr>
        <w:t xml:space="preserve"> 2018–2025 (algunas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 entran más tarde — p.ej. </w:t>
      </w:r>
      <w:r w:rsidRPr="00D05C14">
        <w:rPr>
          <w:rFonts w:ascii="Consolas" w:hAnsi="Consolas"/>
          <w:sz w:val="20"/>
          <w:lang w:val="es-ES"/>
        </w:rPr>
        <w:t>E037</w:t>
      </w:r>
      <w:r w:rsidRPr="00D05C14">
        <w:rPr>
          <w:lang w:val="es-ES"/>
        </w:rPr>
        <w:t xml:space="preserve"> desde 2021, </w:t>
      </w:r>
      <w:r w:rsidRPr="00D05C14">
        <w:rPr>
          <w:rFonts w:ascii="Consolas" w:hAnsi="Consolas"/>
          <w:sz w:val="20"/>
          <w:lang w:val="es-ES"/>
        </w:rPr>
        <w:t>E043</w:t>
      </w:r>
      <w:r w:rsidRPr="00D05C14">
        <w:rPr>
          <w:lang w:val="es-ES"/>
        </w:rPr>
        <w:t xml:space="preserve"> desde 2019).</w:t>
      </w:r>
    </w:p>
    <w:p w14:paraId="7C9FCB52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>Volumen global del periodo: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40751" w:rsidRPr="00D05C14" w14:paraId="79B684D8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D9E2F3"/>
          </w:tcPr>
          <w:p w14:paraId="1947FE0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Indicador</w:t>
            </w:r>
          </w:p>
        </w:tc>
        <w:tc>
          <w:tcPr>
            <w:tcW w:w="3324" w:type="dxa"/>
            <w:shd w:val="clear" w:color="auto" w:fill="D9E2F3"/>
          </w:tcPr>
          <w:p w14:paraId="79EA1CE6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Denominador</w:t>
            </w:r>
          </w:p>
        </w:tc>
        <w:tc>
          <w:tcPr>
            <w:tcW w:w="3324" w:type="dxa"/>
            <w:shd w:val="clear" w:color="auto" w:fill="D9E2F3"/>
          </w:tcPr>
          <w:p w14:paraId="25639E24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N</w:t>
            </w:r>
          </w:p>
        </w:tc>
      </w:tr>
      <w:tr w:rsidR="00A40751" w:rsidRPr="00D05C14" w14:paraId="00C36DA1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A135464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Cumplimiento CAM-ICU por turno</w:t>
            </w:r>
          </w:p>
        </w:tc>
        <w:tc>
          <w:tcPr>
            <w:tcW w:w="3324" w:type="dxa"/>
          </w:tcPr>
          <w:p w14:paraId="02997F3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turnos elegibles (RASS −3…+4)</w:t>
            </w:r>
          </w:p>
        </w:tc>
        <w:tc>
          <w:tcPr>
            <w:tcW w:w="3324" w:type="dxa"/>
          </w:tcPr>
          <w:p w14:paraId="55B0F56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59 108</w:t>
            </w:r>
            <w:r w:rsidRPr="00D05C14">
              <w:rPr>
                <w:lang w:val="es-ES"/>
              </w:rPr>
              <w:t xml:space="preserve"> turnos (de los cuales 6 528 con CAM → 11,0 %)</w:t>
            </w:r>
          </w:p>
        </w:tc>
      </w:tr>
      <w:tr w:rsidR="00A40751" w:rsidRPr="00D05C14" w14:paraId="1AAD8D36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451719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Positividad CAM-ICU</w:t>
            </w:r>
          </w:p>
        </w:tc>
        <w:tc>
          <w:tcPr>
            <w:tcW w:w="3324" w:type="dxa"/>
          </w:tcPr>
          <w:p w14:paraId="2380496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registros CAM-ICU</w:t>
            </w:r>
          </w:p>
        </w:tc>
        <w:tc>
          <w:tcPr>
            <w:tcW w:w="3324" w:type="dxa"/>
          </w:tcPr>
          <w:p w14:paraId="0B8C267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223 066</w:t>
            </w:r>
            <w:r w:rsidRPr="00D05C14">
              <w:rPr>
                <w:lang w:val="es-ES"/>
              </w:rPr>
              <w:t xml:space="preserve"> registros</w:t>
            </w:r>
          </w:p>
        </w:tc>
      </w:tr>
      <w:tr w:rsidR="00A40751" w:rsidRPr="00D05C14" w14:paraId="32A83496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F0F1781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Cobertura diaria</w:t>
            </w:r>
          </w:p>
        </w:tc>
        <w:tc>
          <w:tcPr>
            <w:tcW w:w="3324" w:type="dxa"/>
          </w:tcPr>
          <w:p w14:paraId="51055CE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estancias UCI cerradas</w:t>
            </w:r>
          </w:p>
        </w:tc>
        <w:tc>
          <w:tcPr>
            <w:tcW w:w="3324" w:type="dxa"/>
          </w:tcPr>
          <w:p w14:paraId="55C99D6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23 777</w:t>
            </w:r>
            <w:r w:rsidRPr="00D05C14">
              <w:rPr>
                <w:lang w:val="es-ES"/>
              </w:rPr>
              <w:t xml:space="preserve"> estancias</w:t>
            </w:r>
          </w:p>
        </w:tc>
      </w:tr>
      <w:tr w:rsidR="00A40751" w:rsidRPr="00D05C14" w14:paraId="0D4DBE6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79F632D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Cobertura diaria (excl. RASS −5/−4)</w:t>
            </w:r>
          </w:p>
        </w:tc>
        <w:tc>
          <w:tcPr>
            <w:tcW w:w="3324" w:type="dxa"/>
          </w:tcPr>
          <w:p w14:paraId="750A0FFD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estancias con ≥1 día evaluable</w:t>
            </w:r>
          </w:p>
        </w:tc>
        <w:tc>
          <w:tcPr>
            <w:tcW w:w="3324" w:type="dxa"/>
          </w:tcPr>
          <w:p w14:paraId="1E1456A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22 777</w:t>
            </w:r>
            <w:r w:rsidRPr="00D05C14">
              <w:rPr>
                <w:lang w:val="es-ES"/>
              </w:rPr>
              <w:t xml:space="preserve"> estancias (1 000 estancias sin ningún día evaluable)</w:t>
            </w:r>
          </w:p>
        </w:tc>
      </w:tr>
    </w:tbl>
    <w:p w14:paraId="7A8E5EEA" w14:textId="77777777" w:rsidR="00A40751" w:rsidRPr="00D05C14" w:rsidRDefault="00A40751">
      <w:pPr>
        <w:rPr>
          <w:lang w:val="es-ES"/>
        </w:rPr>
      </w:pPr>
    </w:p>
    <w:p w14:paraId="13CEF4EC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0596B224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lastRenderedPageBreak/>
        <w:t>Figura 1 — Cumplimiento CAM-ICU por turno (global)</w:t>
      </w:r>
    </w:p>
    <w:p w14:paraId="013CCF98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noProof/>
          <w:lang w:val="es-ES"/>
        </w:rPr>
        <w:drawing>
          <wp:inline distT="0" distB="0" distL="0" distR="0" wp14:anchorId="74D9937B" wp14:editId="59FBD0B7">
            <wp:extent cx="5760720" cy="3136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icu_compliance_global_by_shif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BCC2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i/>
          <w:color w:val="555555"/>
          <w:sz w:val="18"/>
          <w:lang w:val="es-ES"/>
        </w:rPr>
        <w:t>Figura 1 — Cumplimiento CAM-ICU por turno (global)</w:t>
      </w:r>
    </w:p>
    <w:p w14:paraId="0BFA1D59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Archivo:</w:t>
      </w:r>
      <w:r w:rsidRPr="00D05C14">
        <w:rPr>
          <w:lang w:val="es-ES"/>
        </w:rPr>
        <w:t xml:space="preserve"> </w:t>
      </w:r>
      <w:proofErr w:type="spellStart"/>
      <w:r w:rsidRPr="00D05C14">
        <w:rPr>
          <w:rFonts w:ascii="Consolas" w:hAnsi="Consolas"/>
          <w:sz w:val="20"/>
          <w:lang w:val="es-ES"/>
        </w:rPr>
        <w:t>plots</w:t>
      </w:r>
      <w:proofErr w:type="spellEnd"/>
      <w:r w:rsidRPr="00D05C14">
        <w:rPr>
          <w:rFonts w:ascii="Consolas" w:hAnsi="Consolas"/>
          <w:sz w:val="20"/>
          <w:lang w:val="es-ES"/>
        </w:rPr>
        <w:t>/camicu_compliance_global_by_shift.png</w:t>
      </w:r>
    </w:p>
    <w:p w14:paraId="15448729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Fuente: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camicu_compliance.csv</w:t>
      </w:r>
    </w:p>
    <w:p w14:paraId="0101E4FC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Pregunta:</w:t>
      </w:r>
      <w:r w:rsidRPr="00D05C14">
        <w:rPr>
          <w:lang w:val="es-ES"/>
        </w:rPr>
        <w:t xml:space="preserve"> Entre los turnos de enfermería (M = mañana 8–15 h, A = tarde 15–22 h, N = noche 22–8 h) en los que ya </w:t>
      </w:r>
      <w:r w:rsidRPr="00D05C14">
        <w:rPr>
          <w:b/>
          <w:lang w:val="es-ES"/>
        </w:rPr>
        <w:t>consta</w:t>
      </w:r>
      <w:r w:rsidRPr="00D05C14">
        <w:rPr>
          <w:lang w:val="es-ES"/>
        </w:rPr>
        <w:t xml:space="preserve"> un RASS en rango evaluable (−3 a +4), ¿qué proporción tiene también un CAM-ICU registrado en </w:t>
      </w:r>
      <w:r w:rsidRPr="00D05C14">
        <w:rPr>
          <w:b/>
          <w:lang w:val="es-ES"/>
        </w:rPr>
        <w:t>el mismo turno</w:t>
      </w:r>
      <w:r w:rsidRPr="00D05C14">
        <w:rPr>
          <w:lang w:val="es-ES"/>
        </w:rPr>
        <w:t>?</w:t>
      </w:r>
    </w:p>
    <w:p w14:paraId="40BA5267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Lo que muestra el gráfico:</w:t>
      </w:r>
    </w:p>
    <w:p w14:paraId="46F81A1D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 xml:space="preserve">Línea negra continua: media ponderada de las 8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 por año.</w:t>
      </w:r>
    </w:p>
    <w:p w14:paraId="370EAC51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>Tres líneas discontinuas (azul/naranja/morado): mismo cálculo desagregado por turno M/A/N.</w:t>
      </w:r>
    </w:p>
    <w:p w14:paraId="48F57AD7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 xml:space="preserve">Resultados clave (todas las </w:t>
      </w:r>
      <w:proofErr w:type="spellStart"/>
      <w:r w:rsidRPr="00D05C14">
        <w:rPr>
          <w:b/>
          <w:lang w:val="es-ES"/>
        </w:rPr>
        <w:t>UCIs</w:t>
      </w:r>
      <w:proofErr w:type="spellEnd"/>
      <w:r w:rsidRPr="00D05C14">
        <w:rPr>
          <w:b/>
          <w:lang w:val="es-ES"/>
        </w:rPr>
        <w:t>, 2018–2025):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40751" w:rsidRPr="00D05C14" w14:paraId="4E46A5FE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D9E2F3"/>
          </w:tcPr>
          <w:p w14:paraId="0C7654AA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Año</w:t>
            </w:r>
          </w:p>
        </w:tc>
        <w:tc>
          <w:tcPr>
            <w:tcW w:w="2493" w:type="dxa"/>
            <w:shd w:val="clear" w:color="auto" w:fill="D9E2F3"/>
          </w:tcPr>
          <w:p w14:paraId="329AA6F8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Turnos elegibles</w:t>
            </w:r>
          </w:p>
        </w:tc>
        <w:tc>
          <w:tcPr>
            <w:tcW w:w="2493" w:type="dxa"/>
            <w:shd w:val="clear" w:color="auto" w:fill="D9E2F3"/>
          </w:tcPr>
          <w:p w14:paraId="72044E2F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Turnos con CAM</w:t>
            </w:r>
          </w:p>
        </w:tc>
        <w:tc>
          <w:tcPr>
            <w:tcW w:w="2493" w:type="dxa"/>
            <w:shd w:val="clear" w:color="auto" w:fill="D9E2F3"/>
          </w:tcPr>
          <w:p w14:paraId="2A3855F7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cumplimiento</w:t>
            </w:r>
          </w:p>
        </w:tc>
      </w:tr>
      <w:tr w:rsidR="00A40751" w:rsidRPr="00D05C14" w14:paraId="1F03E0DC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75AE32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2018</w:t>
            </w:r>
          </w:p>
        </w:tc>
        <w:tc>
          <w:tcPr>
            <w:tcW w:w="2493" w:type="dxa"/>
          </w:tcPr>
          <w:p w14:paraId="44C84B5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4 500</w:t>
            </w:r>
          </w:p>
        </w:tc>
        <w:tc>
          <w:tcPr>
            <w:tcW w:w="2493" w:type="dxa"/>
          </w:tcPr>
          <w:p w14:paraId="530041F2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581</w:t>
            </w:r>
          </w:p>
        </w:tc>
        <w:tc>
          <w:tcPr>
            <w:tcW w:w="2493" w:type="dxa"/>
          </w:tcPr>
          <w:p w14:paraId="4BEEB0D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12,9 %</w:t>
            </w:r>
          </w:p>
        </w:tc>
      </w:tr>
      <w:tr w:rsidR="00A40751" w:rsidRPr="00D05C14" w14:paraId="697200B4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2D611D7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2019</w:t>
            </w:r>
          </w:p>
        </w:tc>
        <w:tc>
          <w:tcPr>
            <w:tcW w:w="2493" w:type="dxa"/>
          </w:tcPr>
          <w:p w14:paraId="19774E9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4 826</w:t>
            </w:r>
          </w:p>
        </w:tc>
        <w:tc>
          <w:tcPr>
            <w:tcW w:w="2493" w:type="dxa"/>
          </w:tcPr>
          <w:p w14:paraId="110F608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485</w:t>
            </w:r>
          </w:p>
        </w:tc>
        <w:tc>
          <w:tcPr>
            <w:tcW w:w="2493" w:type="dxa"/>
          </w:tcPr>
          <w:p w14:paraId="15F8160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10,0 %</w:t>
            </w:r>
          </w:p>
        </w:tc>
      </w:tr>
      <w:tr w:rsidR="00A40751" w:rsidRPr="00D05C14" w14:paraId="231F265E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591E463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2020</w:t>
            </w:r>
          </w:p>
        </w:tc>
        <w:tc>
          <w:tcPr>
            <w:tcW w:w="2493" w:type="dxa"/>
          </w:tcPr>
          <w:p w14:paraId="58F3927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8 627</w:t>
            </w:r>
          </w:p>
        </w:tc>
        <w:tc>
          <w:tcPr>
            <w:tcW w:w="2493" w:type="dxa"/>
          </w:tcPr>
          <w:p w14:paraId="1347AE2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996</w:t>
            </w:r>
          </w:p>
        </w:tc>
        <w:tc>
          <w:tcPr>
            <w:tcW w:w="2493" w:type="dxa"/>
          </w:tcPr>
          <w:p w14:paraId="3FF1323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11,5 %</w:t>
            </w:r>
          </w:p>
        </w:tc>
      </w:tr>
      <w:tr w:rsidR="00A40751" w:rsidRPr="00D05C14" w14:paraId="4224695B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D0FB03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2021</w:t>
            </w:r>
          </w:p>
        </w:tc>
        <w:tc>
          <w:tcPr>
            <w:tcW w:w="2493" w:type="dxa"/>
          </w:tcPr>
          <w:p w14:paraId="5DE77C6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14 479</w:t>
            </w:r>
          </w:p>
        </w:tc>
        <w:tc>
          <w:tcPr>
            <w:tcW w:w="2493" w:type="dxa"/>
          </w:tcPr>
          <w:p w14:paraId="149B65A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1 658</w:t>
            </w:r>
          </w:p>
        </w:tc>
        <w:tc>
          <w:tcPr>
            <w:tcW w:w="2493" w:type="dxa"/>
          </w:tcPr>
          <w:p w14:paraId="2896F43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11,5 %</w:t>
            </w:r>
          </w:p>
        </w:tc>
      </w:tr>
      <w:tr w:rsidR="00A40751" w:rsidRPr="00D05C14" w14:paraId="4E4059BC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9EA8D7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2022</w:t>
            </w:r>
          </w:p>
        </w:tc>
        <w:tc>
          <w:tcPr>
            <w:tcW w:w="2493" w:type="dxa"/>
          </w:tcPr>
          <w:p w14:paraId="0641098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7 911</w:t>
            </w:r>
          </w:p>
        </w:tc>
        <w:tc>
          <w:tcPr>
            <w:tcW w:w="2493" w:type="dxa"/>
          </w:tcPr>
          <w:p w14:paraId="08178C5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1 024</w:t>
            </w:r>
          </w:p>
        </w:tc>
        <w:tc>
          <w:tcPr>
            <w:tcW w:w="2493" w:type="dxa"/>
          </w:tcPr>
          <w:p w14:paraId="0A6E8DB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12,9 %</w:t>
            </w:r>
          </w:p>
        </w:tc>
      </w:tr>
      <w:tr w:rsidR="00A40751" w:rsidRPr="00D05C14" w14:paraId="2FCCE432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5BF657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2023</w:t>
            </w:r>
          </w:p>
        </w:tc>
        <w:tc>
          <w:tcPr>
            <w:tcW w:w="2493" w:type="dxa"/>
          </w:tcPr>
          <w:p w14:paraId="6AA4CD8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5 840</w:t>
            </w:r>
          </w:p>
        </w:tc>
        <w:tc>
          <w:tcPr>
            <w:tcW w:w="2493" w:type="dxa"/>
          </w:tcPr>
          <w:p w14:paraId="4F6E074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598</w:t>
            </w:r>
          </w:p>
        </w:tc>
        <w:tc>
          <w:tcPr>
            <w:tcW w:w="2493" w:type="dxa"/>
          </w:tcPr>
          <w:p w14:paraId="4B19974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10,2 %</w:t>
            </w:r>
          </w:p>
        </w:tc>
      </w:tr>
      <w:tr w:rsidR="00A40751" w:rsidRPr="00D05C14" w14:paraId="4EE7D65F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25B197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2024</w:t>
            </w:r>
          </w:p>
        </w:tc>
        <w:tc>
          <w:tcPr>
            <w:tcW w:w="2493" w:type="dxa"/>
          </w:tcPr>
          <w:p w14:paraId="5BEDF3F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7 038</w:t>
            </w:r>
          </w:p>
        </w:tc>
        <w:tc>
          <w:tcPr>
            <w:tcW w:w="2493" w:type="dxa"/>
          </w:tcPr>
          <w:p w14:paraId="52B5ABA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682</w:t>
            </w:r>
          </w:p>
        </w:tc>
        <w:tc>
          <w:tcPr>
            <w:tcW w:w="2493" w:type="dxa"/>
          </w:tcPr>
          <w:p w14:paraId="1E877D8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9,7 %</w:t>
            </w:r>
          </w:p>
        </w:tc>
      </w:tr>
      <w:tr w:rsidR="00A40751" w:rsidRPr="00D05C14" w14:paraId="5B7C1FBD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F17E00A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2025</w:t>
            </w:r>
          </w:p>
        </w:tc>
        <w:tc>
          <w:tcPr>
            <w:tcW w:w="2493" w:type="dxa"/>
          </w:tcPr>
          <w:p w14:paraId="41FABE3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5 887</w:t>
            </w:r>
          </w:p>
        </w:tc>
        <w:tc>
          <w:tcPr>
            <w:tcW w:w="2493" w:type="dxa"/>
          </w:tcPr>
          <w:p w14:paraId="4B5F407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504</w:t>
            </w:r>
          </w:p>
        </w:tc>
        <w:tc>
          <w:tcPr>
            <w:tcW w:w="2493" w:type="dxa"/>
          </w:tcPr>
          <w:p w14:paraId="203990FE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8,6 %</w:t>
            </w:r>
          </w:p>
        </w:tc>
      </w:tr>
    </w:tbl>
    <w:p w14:paraId="43DA69BB" w14:textId="77777777" w:rsidR="00A40751" w:rsidRPr="00D05C14" w:rsidRDefault="00A40751">
      <w:pPr>
        <w:rPr>
          <w:lang w:val="es-ES"/>
        </w:rPr>
      </w:pPr>
    </w:p>
    <w:p w14:paraId="2D16FD2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Por turno (acumulado 2018–2025):</w:t>
      </w:r>
      <w:r w:rsidRPr="00D05C14">
        <w:rPr>
          <w:lang w:val="es-ES"/>
        </w:rPr>
        <w:t xml:space="preserve"> Mañana 9,7 % · Tarde 11,4 % · </w:t>
      </w:r>
      <w:r w:rsidRPr="00D05C14">
        <w:rPr>
          <w:b/>
          <w:lang w:val="es-ES"/>
        </w:rPr>
        <w:t>Noche 12,1 %</w:t>
      </w:r>
      <w:r w:rsidRPr="00D05C14">
        <w:rPr>
          <w:lang w:val="es-ES"/>
        </w:rPr>
        <w:t xml:space="preserve"> (el turno mejor cumplido).</w:t>
      </w:r>
    </w:p>
    <w:p w14:paraId="65F9BECA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lastRenderedPageBreak/>
        <w:t>Por UCI (acumulado 2018–2025):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40751" w:rsidRPr="00D05C14" w14:paraId="7F8CCFD3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D9E2F3"/>
          </w:tcPr>
          <w:p w14:paraId="3919497D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UCI</w:t>
            </w:r>
          </w:p>
        </w:tc>
        <w:tc>
          <w:tcPr>
            <w:tcW w:w="2493" w:type="dxa"/>
            <w:shd w:val="clear" w:color="auto" w:fill="D9E2F3"/>
          </w:tcPr>
          <w:p w14:paraId="1A250ECA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Elegibles</w:t>
            </w:r>
          </w:p>
        </w:tc>
        <w:tc>
          <w:tcPr>
            <w:tcW w:w="2493" w:type="dxa"/>
            <w:shd w:val="clear" w:color="auto" w:fill="D9E2F3"/>
          </w:tcPr>
          <w:p w14:paraId="1AB50EB6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Con CAM</w:t>
            </w:r>
          </w:p>
        </w:tc>
        <w:tc>
          <w:tcPr>
            <w:tcW w:w="2493" w:type="dxa"/>
            <w:shd w:val="clear" w:color="auto" w:fill="D9E2F3"/>
          </w:tcPr>
          <w:p w14:paraId="2F021FDB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</w:t>
            </w:r>
          </w:p>
        </w:tc>
      </w:tr>
      <w:tr w:rsidR="00A40751" w:rsidRPr="00D05C14" w14:paraId="7E40EFAE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80DC57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E103</w:t>
            </w:r>
          </w:p>
        </w:tc>
        <w:tc>
          <w:tcPr>
            <w:tcW w:w="2493" w:type="dxa"/>
          </w:tcPr>
          <w:p w14:paraId="235E4592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7 482</w:t>
            </w:r>
          </w:p>
        </w:tc>
        <w:tc>
          <w:tcPr>
            <w:tcW w:w="2493" w:type="dxa"/>
          </w:tcPr>
          <w:p w14:paraId="729FC0DC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1 758</w:t>
            </w:r>
          </w:p>
        </w:tc>
        <w:tc>
          <w:tcPr>
            <w:tcW w:w="2493" w:type="dxa"/>
          </w:tcPr>
          <w:p w14:paraId="75B6BB6B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23,5 %</w:t>
            </w:r>
          </w:p>
        </w:tc>
      </w:tr>
      <w:tr w:rsidR="00A40751" w:rsidRPr="00D05C14" w14:paraId="42C974A5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C37D123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E016</w:t>
            </w:r>
          </w:p>
        </w:tc>
        <w:tc>
          <w:tcPr>
            <w:tcW w:w="2493" w:type="dxa"/>
          </w:tcPr>
          <w:p w14:paraId="245EE6F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5 060</w:t>
            </w:r>
          </w:p>
        </w:tc>
        <w:tc>
          <w:tcPr>
            <w:tcW w:w="2493" w:type="dxa"/>
          </w:tcPr>
          <w:p w14:paraId="67D01F05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676</w:t>
            </w:r>
          </w:p>
        </w:tc>
        <w:tc>
          <w:tcPr>
            <w:tcW w:w="2493" w:type="dxa"/>
          </w:tcPr>
          <w:p w14:paraId="3642FBF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13,4 %</w:t>
            </w:r>
          </w:p>
        </w:tc>
      </w:tr>
      <w:tr w:rsidR="00A40751" w:rsidRPr="00D05C14" w14:paraId="46CCD537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58CBB14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E057</w:t>
            </w:r>
          </w:p>
        </w:tc>
        <w:tc>
          <w:tcPr>
            <w:tcW w:w="2493" w:type="dxa"/>
          </w:tcPr>
          <w:p w14:paraId="42F1BFA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6 873</w:t>
            </w:r>
          </w:p>
        </w:tc>
        <w:tc>
          <w:tcPr>
            <w:tcW w:w="2493" w:type="dxa"/>
          </w:tcPr>
          <w:p w14:paraId="4F51B41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846</w:t>
            </w:r>
          </w:p>
        </w:tc>
        <w:tc>
          <w:tcPr>
            <w:tcW w:w="2493" w:type="dxa"/>
          </w:tcPr>
          <w:p w14:paraId="0C76DB6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12,3 %</w:t>
            </w:r>
          </w:p>
        </w:tc>
      </w:tr>
      <w:tr w:rsidR="00A40751" w:rsidRPr="00D05C14" w14:paraId="1E51F641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B1C790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E015</w:t>
            </w:r>
          </w:p>
        </w:tc>
        <w:tc>
          <w:tcPr>
            <w:tcW w:w="2493" w:type="dxa"/>
          </w:tcPr>
          <w:p w14:paraId="4E5C819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5 623</w:t>
            </w:r>
          </w:p>
        </w:tc>
        <w:tc>
          <w:tcPr>
            <w:tcW w:w="2493" w:type="dxa"/>
          </w:tcPr>
          <w:p w14:paraId="4DE3B16E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665</w:t>
            </w:r>
          </w:p>
        </w:tc>
        <w:tc>
          <w:tcPr>
            <w:tcW w:w="2493" w:type="dxa"/>
          </w:tcPr>
          <w:p w14:paraId="331A985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11,8 %</w:t>
            </w:r>
          </w:p>
        </w:tc>
      </w:tr>
      <w:tr w:rsidR="00A40751" w:rsidRPr="00D05C14" w14:paraId="6EDB68A3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960D023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E014</w:t>
            </w:r>
          </w:p>
        </w:tc>
        <w:tc>
          <w:tcPr>
            <w:tcW w:w="2493" w:type="dxa"/>
          </w:tcPr>
          <w:p w14:paraId="221DB53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6 496</w:t>
            </w:r>
          </w:p>
        </w:tc>
        <w:tc>
          <w:tcPr>
            <w:tcW w:w="2493" w:type="dxa"/>
          </w:tcPr>
          <w:p w14:paraId="68BDEB6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575</w:t>
            </w:r>
          </w:p>
        </w:tc>
        <w:tc>
          <w:tcPr>
            <w:tcW w:w="2493" w:type="dxa"/>
          </w:tcPr>
          <w:p w14:paraId="58FCA1E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8,9 %</w:t>
            </w:r>
          </w:p>
        </w:tc>
      </w:tr>
      <w:tr w:rsidR="00A40751" w:rsidRPr="00D05C14" w14:paraId="37E1B374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24A39F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E043</w:t>
            </w:r>
          </w:p>
        </w:tc>
        <w:tc>
          <w:tcPr>
            <w:tcW w:w="2493" w:type="dxa"/>
          </w:tcPr>
          <w:p w14:paraId="249F73A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16 883</w:t>
            </w:r>
          </w:p>
        </w:tc>
        <w:tc>
          <w:tcPr>
            <w:tcW w:w="2493" w:type="dxa"/>
          </w:tcPr>
          <w:p w14:paraId="1424B84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1 451</w:t>
            </w:r>
          </w:p>
        </w:tc>
        <w:tc>
          <w:tcPr>
            <w:tcW w:w="2493" w:type="dxa"/>
          </w:tcPr>
          <w:p w14:paraId="5FBEDAEE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8,6 %</w:t>
            </w:r>
          </w:p>
        </w:tc>
      </w:tr>
      <w:tr w:rsidR="00A40751" w:rsidRPr="00D05C14" w14:paraId="115A57D9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8AE3E8F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E037</w:t>
            </w:r>
          </w:p>
        </w:tc>
        <w:tc>
          <w:tcPr>
            <w:tcW w:w="2493" w:type="dxa"/>
          </w:tcPr>
          <w:p w14:paraId="7FA2D07B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2 165</w:t>
            </w:r>
          </w:p>
        </w:tc>
        <w:tc>
          <w:tcPr>
            <w:tcW w:w="2493" w:type="dxa"/>
          </w:tcPr>
          <w:p w14:paraId="24250B6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154</w:t>
            </w:r>
          </w:p>
        </w:tc>
        <w:tc>
          <w:tcPr>
            <w:tcW w:w="2493" w:type="dxa"/>
          </w:tcPr>
          <w:p w14:paraId="3C33268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7,1 %</w:t>
            </w:r>
          </w:p>
        </w:tc>
      </w:tr>
      <w:tr w:rsidR="00A40751" w:rsidRPr="00D05C14" w14:paraId="7F5DD10D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1E8DFE5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E073</w:t>
            </w:r>
          </w:p>
        </w:tc>
        <w:tc>
          <w:tcPr>
            <w:tcW w:w="2493" w:type="dxa"/>
          </w:tcPr>
          <w:p w14:paraId="6DE239A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8 526</w:t>
            </w:r>
          </w:p>
        </w:tc>
        <w:tc>
          <w:tcPr>
            <w:tcW w:w="2493" w:type="dxa"/>
          </w:tcPr>
          <w:p w14:paraId="1ACA468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403</w:t>
            </w:r>
          </w:p>
        </w:tc>
        <w:tc>
          <w:tcPr>
            <w:tcW w:w="2493" w:type="dxa"/>
          </w:tcPr>
          <w:p w14:paraId="5D00B64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4,7 %</w:t>
            </w:r>
          </w:p>
        </w:tc>
      </w:tr>
    </w:tbl>
    <w:p w14:paraId="4D29EB50" w14:textId="77777777" w:rsidR="00A40751" w:rsidRPr="00D05C14" w:rsidRDefault="00A40751">
      <w:pPr>
        <w:rPr>
          <w:lang w:val="es-ES"/>
        </w:rPr>
      </w:pPr>
    </w:p>
    <w:p w14:paraId="5C35452F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Lectura:</w:t>
      </w:r>
      <w:r w:rsidRPr="00D05C14">
        <w:rPr>
          <w:lang w:val="es-ES"/>
        </w:rPr>
        <w:t xml:space="preserve"> el cumplimiento global se mueve siempre por debajo del 13 % y muestra una </w:t>
      </w:r>
      <w:r w:rsidRPr="00D05C14">
        <w:rPr>
          <w:b/>
          <w:lang w:val="es-ES"/>
        </w:rPr>
        <w:t>caída progresiva desde 2022</w:t>
      </w:r>
      <w:r w:rsidRPr="00D05C14">
        <w:rPr>
          <w:lang w:val="es-ES"/>
        </w:rPr>
        <w:t xml:space="preserve"> (13 %) hasta 2025 (≈ 9 %). El turno noche es el que más registra; mañana el que menos. La UCI con cumplimiento más alto es </w:t>
      </w:r>
      <w:r w:rsidRPr="00D05C14">
        <w:rPr>
          <w:b/>
          <w:lang w:val="es-ES"/>
        </w:rPr>
        <w:t>E103</w:t>
      </w:r>
      <w:r w:rsidRPr="00D05C14">
        <w:rPr>
          <w:lang w:val="es-ES"/>
        </w:rPr>
        <w:t xml:space="preserve"> y la más baja </w:t>
      </w:r>
      <w:r w:rsidRPr="00D05C14">
        <w:rPr>
          <w:b/>
          <w:lang w:val="es-ES"/>
        </w:rPr>
        <w:t>E073</w:t>
      </w:r>
      <w:r w:rsidRPr="00D05C14">
        <w:rPr>
          <w:lang w:val="es-ES"/>
        </w:rPr>
        <w:t>.</w:t>
      </w:r>
    </w:p>
    <w:p w14:paraId="02AC1636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1EDCCBF1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Figura 2 — Mezcla de resultados CAM-ICU por UCI (2023–2025)</w:t>
      </w:r>
    </w:p>
    <w:p w14:paraId="1788AA7B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noProof/>
          <w:lang w:val="es-ES"/>
        </w:rPr>
        <w:drawing>
          <wp:inline distT="0" distB="0" distL="0" distR="0" wp14:anchorId="2C82E010" wp14:editId="33DA88A6">
            <wp:extent cx="5760720" cy="3140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icu_positivity_stacked_by_icu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F790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i/>
          <w:color w:val="555555"/>
          <w:sz w:val="18"/>
          <w:lang w:val="es-ES"/>
        </w:rPr>
        <w:t>Figura 2 — Mezcla de resultados CAM-ICU por UCI (2023–2025)</w:t>
      </w:r>
    </w:p>
    <w:p w14:paraId="4D26491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Archivo:</w:t>
      </w:r>
      <w:r w:rsidRPr="00D05C14">
        <w:rPr>
          <w:lang w:val="es-ES"/>
        </w:rPr>
        <w:t xml:space="preserve"> </w:t>
      </w:r>
      <w:proofErr w:type="spellStart"/>
      <w:r w:rsidRPr="00D05C14">
        <w:rPr>
          <w:rFonts w:ascii="Consolas" w:hAnsi="Consolas"/>
          <w:sz w:val="20"/>
          <w:lang w:val="es-ES"/>
        </w:rPr>
        <w:t>plots</w:t>
      </w:r>
      <w:proofErr w:type="spellEnd"/>
      <w:r w:rsidRPr="00D05C14">
        <w:rPr>
          <w:rFonts w:ascii="Consolas" w:hAnsi="Consolas"/>
          <w:sz w:val="20"/>
          <w:lang w:val="es-ES"/>
        </w:rPr>
        <w:t>/camicu_positivity_stacked_by_icu.png</w:t>
      </w:r>
    </w:p>
    <w:p w14:paraId="50CE17D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Fuente: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camicu_positivity.csv</w:t>
      </w:r>
      <w:r w:rsidRPr="00D05C14">
        <w:rPr>
          <w:lang w:val="es-ES"/>
        </w:rPr>
        <w:t xml:space="preserve"> (filtrado a los </w:t>
      </w:r>
      <w:r w:rsidRPr="00D05C14">
        <w:rPr>
          <w:b/>
          <w:lang w:val="es-ES"/>
        </w:rPr>
        <w:t>3 últimos años</w:t>
      </w:r>
      <w:r w:rsidRPr="00D05C14">
        <w:rPr>
          <w:lang w:val="es-ES"/>
        </w:rPr>
        <w:t>, 2023–2025).</w:t>
      </w:r>
    </w:p>
    <w:p w14:paraId="0D74BCCB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Pregunta:</w:t>
      </w:r>
      <w:r w:rsidRPr="00D05C14">
        <w:rPr>
          <w:lang w:val="es-ES"/>
        </w:rPr>
        <w:t xml:space="preserve"> Entre los registros CAM-ICU de los últimos 3 años, ¿qué proporción es delirio presente / ausente / no valorable?</w:t>
      </w:r>
    </w:p>
    <w:p w14:paraId="527B61A1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lastRenderedPageBreak/>
        <w:t>Codificación: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DELIRIO_CAM-ICU_2</w:t>
      </w:r>
      <w:r w:rsidRPr="00D05C14">
        <w:rPr>
          <w:lang w:val="es-ES"/>
        </w:rPr>
        <w:t xml:space="preserve"> = positivo (delirio presente, naranja); </w:t>
      </w:r>
      <w:r w:rsidRPr="00D05C14">
        <w:rPr>
          <w:rFonts w:ascii="Consolas" w:hAnsi="Consolas"/>
          <w:sz w:val="20"/>
          <w:lang w:val="es-ES"/>
        </w:rPr>
        <w:t>_1</w:t>
      </w:r>
      <w:r w:rsidRPr="00D05C14">
        <w:rPr>
          <w:lang w:val="es-ES"/>
        </w:rPr>
        <w:t xml:space="preserve"> = negativo (verde); </w:t>
      </w:r>
      <w:r w:rsidRPr="00D05C14">
        <w:rPr>
          <w:rFonts w:ascii="Consolas" w:hAnsi="Consolas"/>
          <w:sz w:val="20"/>
          <w:lang w:val="es-ES"/>
        </w:rPr>
        <w:t>_3</w:t>
      </w:r>
      <w:r w:rsidRPr="00D05C14">
        <w:rPr>
          <w:lang w:val="es-ES"/>
        </w:rPr>
        <w:t xml:space="preserve"> = otros / no valorable (gris).</w:t>
      </w:r>
    </w:p>
    <w:p w14:paraId="625D4BEE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Resultados (2023–2025, agregado por UCI):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40751" w:rsidRPr="00D05C14" w14:paraId="69D019ED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D9E2F3"/>
          </w:tcPr>
          <w:p w14:paraId="3036DFA0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UCI</w:t>
            </w:r>
          </w:p>
        </w:tc>
        <w:tc>
          <w:tcPr>
            <w:tcW w:w="1994" w:type="dxa"/>
            <w:shd w:val="clear" w:color="auto" w:fill="D9E2F3"/>
          </w:tcPr>
          <w:p w14:paraId="442DC1C2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proofErr w:type="gramStart"/>
            <w:r w:rsidRPr="00D05C14">
              <w:rPr>
                <w:lang w:val="es-ES"/>
              </w:rPr>
              <w:t>Total</w:t>
            </w:r>
            <w:proofErr w:type="gramEnd"/>
            <w:r w:rsidRPr="00D05C14">
              <w:rPr>
                <w:lang w:val="es-ES"/>
              </w:rPr>
              <w:t xml:space="preserve"> CAM</w:t>
            </w:r>
          </w:p>
        </w:tc>
        <w:tc>
          <w:tcPr>
            <w:tcW w:w="1994" w:type="dxa"/>
            <w:shd w:val="clear" w:color="auto" w:fill="D9E2F3"/>
          </w:tcPr>
          <w:p w14:paraId="2A6F1801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positivos</w:t>
            </w:r>
          </w:p>
        </w:tc>
        <w:tc>
          <w:tcPr>
            <w:tcW w:w="1994" w:type="dxa"/>
            <w:shd w:val="clear" w:color="auto" w:fill="D9E2F3"/>
          </w:tcPr>
          <w:p w14:paraId="02F8A0C1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negativos</w:t>
            </w:r>
          </w:p>
        </w:tc>
        <w:tc>
          <w:tcPr>
            <w:tcW w:w="1994" w:type="dxa"/>
            <w:shd w:val="clear" w:color="auto" w:fill="D9E2F3"/>
          </w:tcPr>
          <w:p w14:paraId="173BBD0B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otros</w:t>
            </w:r>
          </w:p>
        </w:tc>
      </w:tr>
      <w:tr w:rsidR="00A40751" w:rsidRPr="00D05C14" w14:paraId="0A5012E4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F7F7C2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E014</w:t>
            </w:r>
          </w:p>
        </w:tc>
        <w:tc>
          <w:tcPr>
            <w:tcW w:w="1994" w:type="dxa"/>
          </w:tcPr>
          <w:p w14:paraId="08CAC2F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4 492</w:t>
            </w:r>
          </w:p>
        </w:tc>
        <w:tc>
          <w:tcPr>
            <w:tcW w:w="1994" w:type="dxa"/>
          </w:tcPr>
          <w:p w14:paraId="65A5DBF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78,6 %</w:t>
            </w:r>
          </w:p>
        </w:tc>
        <w:tc>
          <w:tcPr>
            <w:tcW w:w="1994" w:type="dxa"/>
          </w:tcPr>
          <w:p w14:paraId="26F3631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12,7 %</w:t>
            </w:r>
          </w:p>
        </w:tc>
        <w:tc>
          <w:tcPr>
            <w:tcW w:w="1994" w:type="dxa"/>
          </w:tcPr>
          <w:p w14:paraId="622D98E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8,7 %</w:t>
            </w:r>
          </w:p>
        </w:tc>
      </w:tr>
      <w:tr w:rsidR="00A40751" w:rsidRPr="00D05C14" w14:paraId="686FDE89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CF16C0D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E015</w:t>
            </w:r>
          </w:p>
        </w:tc>
        <w:tc>
          <w:tcPr>
            <w:tcW w:w="1994" w:type="dxa"/>
          </w:tcPr>
          <w:p w14:paraId="14CB038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6 696</w:t>
            </w:r>
          </w:p>
        </w:tc>
        <w:tc>
          <w:tcPr>
            <w:tcW w:w="1994" w:type="dxa"/>
          </w:tcPr>
          <w:p w14:paraId="4B53B6A6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87,8 %</w:t>
            </w:r>
          </w:p>
        </w:tc>
        <w:tc>
          <w:tcPr>
            <w:tcW w:w="1994" w:type="dxa"/>
          </w:tcPr>
          <w:p w14:paraId="6592DF4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8,9 %</w:t>
            </w:r>
          </w:p>
        </w:tc>
        <w:tc>
          <w:tcPr>
            <w:tcW w:w="1994" w:type="dxa"/>
          </w:tcPr>
          <w:p w14:paraId="4E8BE8D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3,4 %</w:t>
            </w:r>
          </w:p>
        </w:tc>
      </w:tr>
      <w:tr w:rsidR="00A40751" w:rsidRPr="00D05C14" w14:paraId="601A327C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6B91F9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E016</w:t>
            </w:r>
          </w:p>
        </w:tc>
        <w:tc>
          <w:tcPr>
            <w:tcW w:w="1994" w:type="dxa"/>
          </w:tcPr>
          <w:p w14:paraId="26FD93F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27 105</w:t>
            </w:r>
          </w:p>
        </w:tc>
        <w:tc>
          <w:tcPr>
            <w:tcW w:w="1994" w:type="dxa"/>
          </w:tcPr>
          <w:p w14:paraId="69220F5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93,0 %</w:t>
            </w:r>
          </w:p>
        </w:tc>
        <w:tc>
          <w:tcPr>
            <w:tcW w:w="1994" w:type="dxa"/>
          </w:tcPr>
          <w:p w14:paraId="5AB4828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5,9 %</w:t>
            </w:r>
          </w:p>
        </w:tc>
        <w:tc>
          <w:tcPr>
            <w:tcW w:w="1994" w:type="dxa"/>
          </w:tcPr>
          <w:p w14:paraId="5A007F22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1,0 %</w:t>
            </w:r>
          </w:p>
        </w:tc>
      </w:tr>
      <w:tr w:rsidR="00A40751" w:rsidRPr="00D05C14" w14:paraId="4ABD666C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80FB7E7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E037</w:t>
            </w:r>
          </w:p>
        </w:tc>
        <w:tc>
          <w:tcPr>
            <w:tcW w:w="1994" w:type="dxa"/>
          </w:tcPr>
          <w:p w14:paraId="3E0F189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5 128</w:t>
            </w:r>
          </w:p>
        </w:tc>
        <w:tc>
          <w:tcPr>
            <w:tcW w:w="1994" w:type="dxa"/>
          </w:tcPr>
          <w:p w14:paraId="642F6CD6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85,0 %</w:t>
            </w:r>
          </w:p>
        </w:tc>
        <w:tc>
          <w:tcPr>
            <w:tcW w:w="1994" w:type="dxa"/>
          </w:tcPr>
          <w:p w14:paraId="0A6F43F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13,8 %</w:t>
            </w:r>
          </w:p>
        </w:tc>
        <w:tc>
          <w:tcPr>
            <w:tcW w:w="1994" w:type="dxa"/>
          </w:tcPr>
          <w:p w14:paraId="698FBFC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1,2 %</w:t>
            </w:r>
          </w:p>
        </w:tc>
      </w:tr>
      <w:tr w:rsidR="00A40751" w:rsidRPr="00D05C14" w14:paraId="26AD9683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F0F265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E043</w:t>
            </w:r>
          </w:p>
        </w:tc>
        <w:tc>
          <w:tcPr>
            <w:tcW w:w="1994" w:type="dxa"/>
          </w:tcPr>
          <w:p w14:paraId="633F6B31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6 729</w:t>
            </w:r>
          </w:p>
        </w:tc>
        <w:tc>
          <w:tcPr>
            <w:tcW w:w="1994" w:type="dxa"/>
          </w:tcPr>
          <w:p w14:paraId="1300137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84,4 %</w:t>
            </w:r>
          </w:p>
        </w:tc>
        <w:tc>
          <w:tcPr>
            <w:tcW w:w="1994" w:type="dxa"/>
          </w:tcPr>
          <w:p w14:paraId="04F8705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15,1 %</w:t>
            </w:r>
          </w:p>
        </w:tc>
        <w:tc>
          <w:tcPr>
            <w:tcW w:w="1994" w:type="dxa"/>
          </w:tcPr>
          <w:p w14:paraId="49FA697C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0,5 %</w:t>
            </w:r>
          </w:p>
        </w:tc>
      </w:tr>
      <w:tr w:rsidR="00A40751" w:rsidRPr="00D05C14" w14:paraId="07B42ED3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C73D89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E057</w:t>
            </w:r>
          </w:p>
        </w:tc>
        <w:tc>
          <w:tcPr>
            <w:tcW w:w="1994" w:type="dxa"/>
          </w:tcPr>
          <w:p w14:paraId="3349BB47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2 291</w:t>
            </w:r>
          </w:p>
        </w:tc>
        <w:tc>
          <w:tcPr>
            <w:tcW w:w="1994" w:type="dxa"/>
          </w:tcPr>
          <w:p w14:paraId="2EA26E22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87,3 %</w:t>
            </w:r>
          </w:p>
        </w:tc>
        <w:tc>
          <w:tcPr>
            <w:tcW w:w="1994" w:type="dxa"/>
          </w:tcPr>
          <w:p w14:paraId="2867D1F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12,3 %</w:t>
            </w:r>
          </w:p>
        </w:tc>
        <w:tc>
          <w:tcPr>
            <w:tcW w:w="1994" w:type="dxa"/>
          </w:tcPr>
          <w:p w14:paraId="31EDB7E2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0,5 %</w:t>
            </w:r>
          </w:p>
        </w:tc>
      </w:tr>
      <w:tr w:rsidR="00A40751" w:rsidRPr="00D05C14" w14:paraId="55D5F32D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675005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E073</w:t>
            </w:r>
          </w:p>
        </w:tc>
        <w:tc>
          <w:tcPr>
            <w:tcW w:w="1994" w:type="dxa"/>
          </w:tcPr>
          <w:p w14:paraId="719AB91B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8 234</w:t>
            </w:r>
          </w:p>
        </w:tc>
        <w:tc>
          <w:tcPr>
            <w:tcW w:w="1994" w:type="dxa"/>
          </w:tcPr>
          <w:p w14:paraId="57BC472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87,1 %</w:t>
            </w:r>
          </w:p>
        </w:tc>
        <w:tc>
          <w:tcPr>
            <w:tcW w:w="1994" w:type="dxa"/>
          </w:tcPr>
          <w:p w14:paraId="6D02973B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12,7 %</w:t>
            </w:r>
          </w:p>
        </w:tc>
        <w:tc>
          <w:tcPr>
            <w:tcW w:w="1994" w:type="dxa"/>
          </w:tcPr>
          <w:p w14:paraId="17709A2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0,3 %</w:t>
            </w:r>
          </w:p>
        </w:tc>
      </w:tr>
      <w:tr w:rsidR="00A40751" w:rsidRPr="00D05C14" w14:paraId="1A827C13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0BDEE39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E103</w:t>
            </w:r>
          </w:p>
        </w:tc>
        <w:tc>
          <w:tcPr>
            <w:tcW w:w="1994" w:type="dxa"/>
          </w:tcPr>
          <w:p w14:paraId="00CE9E7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35 542</w:t>
            </w:r>
          </w:p>
        </w:tc>
        <w:tc>
          <w:tcPr>
            <w:tcW w:w="1994" w:type="dxa"/>
          </w:tcPr>
          <w:p w14:paraId="11A2A11D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94,5 %</w:t>
            </w:r>
          </w:p>
        </w:tc>
        <w:tc>
          <w:tcPr>
            <w:tcW w:w="1994" w:type="dxa"/>
          </w:tcPr>
          <w:p w14:paraId="270B938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5,1 %</w:t>
            </w:r>
          </w:p>
        </w:tc>
        <w:tc>
          <w:tcPr>
            <w:tcW w:w="1994" w:type="dxa"/>
          </w:tcPr>
          <w:p w14:paraId="0226832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0,4 %</w:t>
            </w:r>
          </w:p>
        </w:tc>
      </w:tr>
    </w:tbl>
    <w:p w14:paraId="1ADE9B45" w14:textId="77777777" w:rsidR="00A40751" w:rsidRPr="00D05C14" w:rsidRDefault="00A40751">
      <w:pPr>
        <w:rPr>
          <w:lang w:val="es-ES"/>
        </w:rPr>
      </w:pPr>
    </w:p>
    <w:p w14:paraId="68F754EF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Lectura:</w:t>
      </w:r>
      <w:r w:rsidRPr="00D05C14">
        <w:rPr>
          <w:lang w:val="es-ES"/>
        </w:rPr>
        <w:t xml:space="preserve"> En todas las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, la </w:t>
      </w:r>
      <w:r w:rsidRPr="00D05C14">
        <w:rPr>
          <w:b/>
          <w:lang w:val="es-ES"/>
        </w:rPr>
        <w:t>mayoría</w:t>
      </w:r>
      <w:r w:rsidRPr="00D05C14">
        <w:rPr>
          <w:lang w:val="es-ES"/>
        </w:rPr>
        <w:t xml:space="preserve"> de los CAM-ICU registrados resultan positivos (rango 79–95 %). E103 y E016 son las más extremas (&gt;93 %); E014 destaca por una proporción no despreciable de "otros / no valorable" (≈9 %). </w:t>
      </w:r>
      <w:r w:rsidRPr="00D05C14">
        <w:rPr>
          <w:b/>
          <w:bCs/>
          <w:lang w:val="es-ES"/>
        </w:rPr>
        <w:t>La proporción tan alta de positivos sugiere que el CAM-ICU se registra preferentemente cuando hay sospecha clínica, no como cribado universal.</w:t>
      </w:r>
    </w:p>
    <w:p w14:paraId="7382331E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64F009C5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Figura 3 — Tendencia anual de positividad CAM-ICU por UCI</w:t>
      </w:r>
    </w:p>
    <w:p w14:paraId="67B3BEC7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noProof/>
          <w:lang w:val="es-ES"/>
        </w:rPr>
        <w:drawing>
          <wp:inline distT="0" distB="0" distL="0" distR="0" wp14:anchorId="61B9230B" wp14:editId="16823590">
            <wp:extent cx="5760720" cy="3113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icu_positivity_trend_by_ye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CDED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i/>
          <w:color w:val="555555"/>
          <w:sz w:val="18"/>
          <w:lang w:val="es-ES"/>
        </w:rPr>
        <w:t>Figura 3 — Tendencia anual de positividad CAM-ICU por UCI</w:t>
      </w:r>
    </w:p>
    <w:p w14:paraId="34AB040B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Archivo:</w:t>
      </w:r>
      <w:r w:rsidRPr="00D05C14">
        <w:rPr>
          <w:lang w:val="es-ES"/>
        </w:rPr>
        <w:t xml:space="preserve"> </w:t>
      </w:r>
      <w:proofErr w:type="spellStart"/>
      <w:r w:rsidRPr="00D05C14">
        <w:rPr>
          <w:rFonts w:ascii="Consolas" w:hAnsi="Consolas"/>
          <w:sz w:val="20"/>
          <w:lang w:val="es-ES"/>
        </w:rPr>
        <w:t>plots</w:t>
      </w:r>
      <w:proofErr w:type="spellEnd"/>
      <w:r w:rsidRPr="00D05C14">
        <w:rPr>
          <w:rFonts w:ascii="Consolas" w:hAnsi="Consolas"/>
          <w:sz w:val="20"/>
          <w:lang w:val="es-ES"/>
        </w:rPr>
        <w:t>/camicu_positivity_trend_by_year.png</w:t>
      </w:r>
    </w:p>
    <w:p w14:paraId="1FC6F915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Fuente: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camicu_positivity.csv</w:t>
      </w:r>
    </w:p>
    <w:p w14:paraId="2F4E615D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lastRenderedPageBreak/>
        <w:t>Pregunta:</w:t>
      </w:r>
      <w:r w:rsidRPr="00D05C14">
        <w:rPr>
          <w:lang w:val="es-ES"/>
        </w:rPr>
        <w:t xml:space="preserve"> ¿Cómo evoluciona el % de CAM-ICU positivos por UCI a lo largo del tiempo?</w:t>
      </w:r>
    </w:p>
    <w:p w14:paraId="6CF9F23E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Lo que muestra:</w:t>
      </w:r>
      <w:r w:rsidRPr="00D05C14">
        <w:rPr>
          <w:lang w:val="es-ES"/>
        </w:rPr>
        <w:t xml:space="preserve"> una línea por UCI (8 colores) más una línea negra global con marcadores en diamante. Eje Y entre 50 % y 105 %.</w:t>
      </w:r>
    </w:p>
    <w:p w14:paraId="4BCF1CF9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 xml:space="preserve">Resultados globales (todas las </w:t>
      </w:r>
      <w:proofErr w:type="spellStart"/>
      <w:r w:rsidRPr="00D05C14">
        <w:rPr>
          <w:b/>
          <w:lang w:val="es-ES"/>
        </w:rPr>
        <w:t>UCIs</w:t>
      </w:r>
      <w:proofErr w:type="spellEnd"/>
      <w:r w:rsidRPr="00D05C14">
        <w:rPr>
          <w:b/>
          <w:lang w:val="es-ES"/>
        </w:rPr>
        <w:t>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40751" w:rsidRPr="00D05C14" w14:paraId="11CA8095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D9E2F3"/>
          </w:tcPr>
          <w:p w14:paraId="63975E3D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Año</w:t>
            </w:r>
          </w:p>
        </w:tc>
        <w:tc>
          <w:tcPr>
            <w:tcW w:w="3324" w:type="dxa"/>
            <w:shd w:val="clear" w:color="auto" w:fill="D9E2F3"/>
          </w:tcPr>
          <w:p w14:paraId="41072593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Registros CAM</w:t>
            </w:r>
          </w:p>
        </w:tc>
        <w:tc>
          <w:tcPr>
            <w:tcW w:w="3324" w:type="dxa"/>
            <w:shd w:val="clear" w:color="auto" w:fill="D9E2F3"/>
          </w:tcPr>
          <w:p w14:paraId="4A3942F5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positivo</w:t>
            </w:r>
          </w:p>
        </w:tc>
      </w:tr>
      <w:tr w:rsidR="00A40751" w:rsidRPr="00D05C14" w14:paraId="1F794F7E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0B383D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2018</w:t>
            </w:r>
          </w:p>
        </w:tc>
        <w:tc>
          <w:tcPr>
            <w:tcW w:w="3324" w:type="dxa"/>
          </w:tcPr>
          <w:p w14:paraId="21D65D7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19 828</w:t>
            </w:r>
          </w:p>
        </w:tc>
        <w:tc>
          <w:tcPr>
            <w:tcW w:w="3324" w:type="dxa"/>
          </w:tcPr>
          <w:p w14:paraId="37CBC60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90,7 %</w:t>
            </w:r>
          </w:p>
        </w:tc>
      </w:tr>
      <w:tr w:rsidR="00A40751" w:rsidRPr="00D05C14" w14:paraId="66F35BF7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BEB50C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2019</w:t>
            </w:r>
          </w:p>
        </w:tc>
        <w:tc>
          <w:tcPr>
            <w:tcW w:w="3324" w:type="dxa"/>
          </w:tcPr>
          <w:p w14:paraId="5D87422D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23 775</w:t>
            </w:r>
          </w:p>
        </w:tc>
        <w:tc>
          <w:tcPr>
            <w:tcW w:w="3324" w:type="dxa"/>
          </w:tcPr>
          <w:p w14:paraId="2902AEA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90,4 %</w:t>
            </w:r>
          </w:p>
        </w:tc>
      </w:tr>
      <w:tr w:rsidR="00A40751" w:rsidRPr="00D05C14" w14:paraId="3C83DBE4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11BF304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2020</w:t>
            </w:r>
          </w:p>
        </w:tc>
        <w:tc>
          <w:tcPr>
            <w:tcW w:w="3324" w:type="dxa"/>
          </w:tcPr>
          <w:p w14:paraId="4846A39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26 179</w:t>
            </w:r>
          </w:p>
        </w:tc>
        <w:tc>
          <w:tcPr>
            <w:tcW w:w="3324" w:type="dxa"/>
          </w:tcPr>
          <w:p w14:paraId="58FEA81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89,0 %</w:t>
            </w:r>
          </w:p>
        </w:tc>
      </w:tr>
      <w:tr w:rsidR="00A40751" w:rsidRPr="00D05C14" w14:paraId="117FBAC6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99789A1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2021</w:t>
            </w:r>
          </w:p>
        </w:tc>
        <w:tc>
          <w:tcPr>
            <w:tcW w:w="3324" w:type="dxa"/>
          </w:tcPr>
          <w:p w14:paraId="3587AA2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26 718</w:t>
            </w:r>
          </w:p>
        </w:tc>
        <w:tc>
          <w:tcPr>
            <w:tcW w:w="3324" w:type="dxa"/>
          </w:tcPr>
          <w:p w14:paraId="30964FC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89,9 %</w:t>
            </w:r>
          </w:p>
        </w:tc>
      </w:tr>
      <w:tr w:rsidR="00A40751" w:rsidRPr="00D05C14" w14:paraId="783C8BBC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C2CEED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2022</w:t>
            </w:r>
          </w:p>
        </w:tc>
        <w:tc>
          <w:tcPr>
            <w:tcW w:w="3324" w:type="dxa"/>
          </w:tcPr>
          <w:p w14:paraId="12D438D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30 349</w:t>
            </w:r>
          </w:p>
        </w:tc>
        <w:tc>
          <w:tcPr>
            <w:tcW w:w="3324" w:type="dxa"/>
          </w:tcPr>
          <w:p w14:paraId="7295CF3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91,1 %</w:t>
            </w:r>
          </w:p>
        </w:tc>
      </w:tr>
      <w:tr w:rsidR="00A40751" w:rsidRPr="00D05C14" w14:paraId="6A508571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45C9A20F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2023</w:t>
            </w:r>
          </w:p>
        </w:tc>
        <w:tc>
          <w:tcPr>
            <w:tcW w:w="3324" w:type="dxa"/>
          </w:tcPr>
          <w:p w14:paraId="635AEF8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34 664</w:t>
            </w:r>
          </w:p>
        </w:tc>
        <w:tc>
          <w:tcPr>
            <w:tcW w:w="3324" w:type="dxa"/>
          </w:tcPr>
          <w:p w14:paraId="32A47606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89,8 %</w:t>
            </w:r>
          </w:p>
        </w:tc>
      </w:tr>
      <w:tr w:rsidR="00A40751" w:rsidRPr="00D05C14" w14:paraId="18C562C1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1C21E9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2024</w:t>
            </w:r>
          </w:p>
        </w:tc>
        <w:tc>
          <w:tcPr>
            <w:tcW w:w="3324" w:type="dxa"/>
          </w:tcPr>
          <w:p w14:paraId="084DA3A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34 236</w:t>
            </w:r>
          </w:p>
        </w:tc>
        <w:tc>
          <w:tcPr>
            <w:tcW w:w="3324" w:type="dxa"/>
          </w:tcPr>
          <w:p w14:paraId="258C7731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91,7 %</w:t>
            </w:r>
          </w:p>
        </w:tc>
      </w:tr>
      <w:tr w:rsidR="00A40751" w:rsidRPr="00D05C14" w14:paraId="23C8EFE2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76A325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2025</w:t>
            </w:r>
          </w:p>
        </w:tc>
        <w:tc>
          <w:tcPr>
            <w:tcW w:w="3324" w:type="dxa"/>
          </w:tcPr>
          <w:p w14:paraId="70195412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27 317</w:t>
            </w:r>
          </w:p>
        </w:tc>
        <w:tc>
          <w:tcPr>
            <w:tcW w:w="3324" w:type="dxa"/>
          </w:tcPr>
          <w:p w14:paraId="16BB200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91,3 %</w:t>
            </w:r>
          </w:p>
        </w:tc>
      </w:tr>
    </w:tbl>
    <w:p w14:paraId="6EA7792E" w14:textId="77777777" w:rsidR="00A40751" w:rsidRPr="00D05C14" w:rsidRDefault="00A40751">
      <w:pPr>
        <w:rPr>
          <w:lang w:val="es-ES"/>
        </w:rPr>
      </w:pPr>
    </w:p>
    <w:p w14:paraId="29E0CFE0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Acumulado del periodo:</w:t>
      </w:r>
      <w:r w:rsidRPr="00D05C14">
        <w:rPr>
          <w:lang w:val="es-ES"/>
        </w:rPr>
        <w:t xml:space="preserve"> 223 066 registros, 201 884 positivos → </w:t>
      </w:r>
      <w:r w:rsidRPr="00D05C14">
        <w:rPr>
          <w:b/>
          <w:lang w:val="es-ES"/>
        </w:rPr>
        <w:t>90,5 %</w:t>
      </w:r>
      <w:r w:rsidRPr="00D05C14">
        <w:rPr>
          <w:lang w:val="es-ES"/>
        </w:rPr>
        <w:t xml:space="preserve"> positividad global.</w:t>
      </w:r>
    </w:p>
    <w:p w14:paraId="30938916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Lectura:</w:t>
      </w:r>
      <w:r w:rsidRPr="00D05C14">
        <w:rPr>
          <w:lang w:val="es-ES"/>
        </w:rPr>
        <w:t xml:space="preserve"> la positividad global se mantiene muy estable (89–92 %) durante 8 años. Las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 se mueven en bandas: </w:t>
      </w:r>
      <w:r w:rsidRPr="00D05C14">
        <w:rPr>
          <w:b/>
          <w:lang w:val="es-ES"/>
        </w:rPr>
        <w:t>E103 y E016</w:t>
      </w:r>
      <w:r w:rsidRPr="00D05C14">
        <w:rPr>
          <w:lang w:val="es-ES"/>
        </w:rPr>
        <w:t xml:space="preserve"> con tendencia ascendente hacia ≈ 95–97 % en 2024–2025; </w:t>
      </w:r>
      <w:r w:rsidRPr="00D05C14">
        <w:rPr>
          <w:b/>
          <w:lang w:val="es-ES"/>
        </w:rPr>
        <w:t>E014 y E073</w:t>
      </w:r>
      <w:r w:rsidRPr="00D05C14">
        <w:rPr>
          <w:lang w:val="es-ES"/>
        </w:rPr>
        <w:t xml:space="preserve"> las más bajas (74–88 %). Los puntos extremos (E043 = 100 % en 2019 con n = 322; E043 cae a 72,6 % en 2025; E073 = 20 % en 2026 con n = 5) son artefactos de denominadores pequeños y no reflejan cambios clínicos reales.</w:t>
      </w:r>
    </w:p>
    <w:p w14:paraId="26FEDA20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1A02BBE5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Figura 4 — Cobertura diaria CAM-ICU en estancias UCI cerradas</w:t>
      </w:r>
    </w:p>
    <w:p w14:paraId="75EEF17E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noProof/>
          <w:lang w:val="es-ES"/>
        </w:rPr>
        <w:drawing>
          <wp:inline distT="0" distB="0" distL="0" distR="0" wp14:anchorId="1C4DA39D" wp14:editId="698A90C1">
            <wp:extent cx="5760720" cy="3113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icu_daily_coverage_by_ic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5C8B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i/>
          <w:color w:val="555555"/>
          <w:sz w:val="18"/>
          <w:lang w:val="es-ES"/>
        </w:rPr>
        <w:t>Figura 4 — Cobertura diaria CAM-ICU en estancias UCI cerradas</w:t>
      </w:r>
    </w:p>
    <w:p w14:paraId="7DF21E61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lastRenderedPageBreak/>
        <w:t>Archivo:</w:t>
      </w:r>
      <w:r w:rsidRPr="00D05C14">
        <w:rPr>
          <w:lang w:val="es-ES"/>
        </w:rPr>
        <w:t xml:space="preserve"> </w:t>
      </w:r>
      <w:proofErr w:type="spellStart"/>
      <w:r w:rsidRPr="00D05C14">
        <w:rPr>
          <w:rFonts w:ascii="Consolas" w:hAnsi="Consolas"/>
          <w:sz w:val="20"/>
          <w:lang w:val="es-ES"/>
        </w:rPr>
        <w:t>plots</w:t>
      </w:r>
      <w:proofErr w:type="spellEnd"/>
      <w:r w:rsidRPr="00D05C14">
        <w:rPr>
          <w:rFonts w:ascii="Consolas" w:hAnsi="Consolas"/>
          <w:sz w:val="20"/>
          <w:lang w:val="es-ES"/>
        </w:rPr>
        <w:t>/camicu_daily_coverage_by_icu.png</w:t>
      </w:r>
    </w:p>
    <w:p w14:paraId="4C845FEE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Fuente: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camicu_daily_coverage.csv</w:t>
      </w:r>
    </w:p>
    <w:p w14:paraId="0D610E7F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Pregunta:</w:t>
      </w:r>
      <w:r w:rsidRPr="00D05C14">
        <w:rPr>
          <w:lang w:val="es-ES"/>
        </w:rPr>
        <w:t xml:space="preserve"> De las </w:t>
      </w:r>
      <w:r w:rsidRPr="00D05C14">
        <w:rPr>
          <w:b/>
          <w:lang w:val="es-ES"/>
        </w:rPr>
        <w:t>estancias UCI cerradas</w:t>
      </w:r>
      <w:r w:rsidRPr="00D05C14">
        <w:rPr>
          <w:lang w:val="es-ES"/>
        </w:rPr>
        <w:t xml:space="preserve"> (alta </w:t>
      </w:r>
      <w:proofErr w:type="gramStart"/>
      <w:r w:rsidRPr="00D05C14">
        <w:rPr>
          <w:lang w:val="es-ES"/>
        </w:rPr>
        <w:t>real registrada</w:t>
      </w:r>
      <w:proofErr w:type="gramEnd"/>
      <w:r w:rsidRPr="00D05C14">
        <w:rPr>
          <w:lang w:val="es-ES"/>
        </w:rPr>
        <w:t xml:space="preserve">), ¿qué porcentaje tiene </w:t>
      </w:r>
      <w:r w:rsidRPr="00D05C14">
        <w:rPr>
          <w:b/>
          <w:lang w:val="es-ES"/>
        </w:rPr>
        <w:t>al menos un CAM-ICU cada día calendario</w:t>
      </w:r>
      <w:r w:rsidRPr="00D05C14">
        <w:rPr>
          <w:lang w:val="es-ES"/>
        </w:rPr>
        <w:t xml:space="preserve"> del ingreso?</w:t>
      </w:r>
    </w:p>
    <w:p w14:paraId="5F75DA3A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Lo que muestra:</w:t>
      </w:r>
      <w:r w:rsidRPr="00D05C14">
        <w:rPr>
          <w:lang w:val="es-ES"/>
        </w:rPr>
        <w:t xml:space="preserve"> una línea por UCI más línea negra con la media </w:t>
      </w:r>
      <w:r w:rsidRPr="00D05C14">
        <w:rPr>
          <w:b/>
          <w:lang w:val="es-ES"/>
        </w:rPr>
        <w:t>ponderada</w:t>
      </w:r>
      <w:r w:rsidRPr="00D05C14">
        <w:rPr>
          <w:lang w:val="es-ES"/>
        </w:rPr>
        <w:t xml:space="preserve"> por estancias.</w:t>
      </w:r>
    </w:p>
    <w:p w14:paraId="4741D6D6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 xml:space="preserve">Resultados globales (8 </w:t>
      </w:r>
      <w:proofErr w:type="spellStart"/>
      <w:r w:rsidRPr="00D05C14">
        <w:rPr>
          <w:b/>
          <w:lang w:val="es-ES"/>
        </w:rPr>
        <w:t>UCIs</w:t>
      </w:r>
      <w:proofErr w:type="spellEnd"/>
      <w:r w:rsidRPr="00D05C14">
        <w:rPr>
          <w:b/>
          <w:lang w:val="es-ES"/>
        </w:rPr>
        <w:t>, 23 777 estancias cerradas 2018–2025):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A40751" w:rsidRPr="00D05C14" w14:paraId="34504AEA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  <w:shd w:val="clear" w:color="auto" w:fill="D9E2F3"/>
          </w:tcPr>
          <w:p w14:paraId="43DB9B9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Año</w:t>
            </w:r>
          </w:p>
        </w:tc>
        <w:tc>
          <w:tcPr>
            <w:tcW w:w="1662" w:type="dxa"/>
            <w:shd w:val="clear" w:color="auto" w:fill="D9E2F3"/>
          </w:tcPr>
          <w:p w14:paraId="5AEC02FC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Estancias</w:t>
            </w:r>
          </w:p>
        </w:tc>
        <w:tc>
          <w:tcPr>
            <w:tcW w:w="1662" w:type="dxa"/>
            <w:shd w:val="clear" w:color="auto" w:fill="D9E2F3"/>
          </w:tcPr>
          <w:p w14:paraId="2B3B5A4F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Con CAM todos los días</w:t>
            </w:r>
          </w:p>
        </w:tc>
        <w:tc>
          <w:tcPr>
            <w:tcW w:w="1662" w:type="dxa"/>
            <w:shd w:val="clear" w:color="auto" w:fill="D9E2F3"/>
          </w:tcPr>
          <w:p w14:paraId="1F045D98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Con CAM algún día</w:t>
            </w:r>
          </w:p>
        </w:tc>
        <w:tc>
          <w:tcPr>
            <w:tcW w:w="1662" w:type="dxa"/>
            <w:shd w:val="clear" w:color="auto" w:fill="D9E2F3"/>
          </w:tcPr>
          <w:p w14:paraId="05876258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todos</w:t>
            </w:r>
          </w:p>
        </w:tc>
        <w:tc>
          <w:tcPr>
            <w:tcW w:w="1662" w:type="dxa"/>
            <w:shd w:val="clear" w:color="auto" w:fill="D9E2F3"/>
          </w:tcPr>
          <w:p w14:paraId="35D48071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algún</w:t>
            </w:r>
          </w:p>
        </w:tc>
      </w:tr>
      <w:tr w:rsidR="00A40751" w:rsidRPr="00D05C14" w14:paraId="4BABC108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0756C103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2018</w:t>
            </w:r>
          </w:p>
        </w:tc>
        <w:tc>
          <w:tcPr>
            <w:tcW w:w="1662" w:type="dxa"/>
          </w:tcPr>
          <w:p w14:paraId="263746F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2 732</w:t>
            </w:r>
          </w:p>
        </w:tc>
        <w:tc>
          <w:tcPr>
            <w:tcW w:w="1662" w:type="dxa"/>
          </w:tcPr>
          <w:p w14:paraId="31A93D8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227</w:t>
            </w:r>
          </w:p>
        </w:tc>
        <w:tc>
          <w:tcPr>
            <w:tcW w:w="1662" w:type="dxa"/>
          </w:tcPr>
          <w:p w14:paraId="44AA43C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989</w:t>
            </w:r>
          </w:p>
        </w:tc>
        <w:tc>
          <w:tcPr>
            <w:tcW w:w="1662" w:type="dxa"/>
          </w:tcPr>
          <w:p w14:paraId="52F7EE8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8,3 %</w:t>
            </w:r>
          </w:p>
        </w:tc>
        <w:tc>
          <w:tcPr>
            <w:tcW w:w="1662" w:type="dxa"/>
          </w:tcPr>
          <w:p w14:paraId="0C87AAA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36,2 %</w:t>
            </w:r>
          </w:p>
        </w:tc>
      </w:tr>
      <w:tr w:rsidR="00A40751" w:rsidRPr="00D05C14" w14:paraId="728313E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1719385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2019</w:t>
            </w:r>
          </w:p>
        </w:tc>
        <w:tc>
          <w:tcPr>
            <w:tcW w:w="1662" w:type="dxa"/>
          </w:tcPr>
          <w:p w14:paraId="3D93DCD7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3 107</w:t>
            </w:r>
          </w:p>
        </w:tc>
        <w:tc>
          <w:tcPr>
            <w:tcW w:w="1662" w:type="dxa"/>
          </w:tcPr>
          <w:p w14:paraId="6C8BFF8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282</w:t>
            </w:r>
          </w:p>
        </w:tc>
        <w:tc>
          <w:tcPr>
            <w:tcW w:w="1662" w:type="dxa"/>
          </w:tcPr>
          <w:p w14:paraId="51D65BD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1 094</w:t>
            </w:r>
          </w:p>
        </w:tc>
        <w:tc>
          <w:tcPr>
            <w:tcW w:w="1662" w:type="dxa"/>
          </w:tcPr>
          <w:p w14:paraId="278F49A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9,1 %</w:t>
            </w:r>
          </w:p>
        </w:tc>
        <w:tc>
          <w:tcPr>
            <w:tcW w:w="1662" w:type="dxa"/>
          </w:tcPr>
          <w:p w14:paraId="3F09B575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35,2 %</w:t>
            </w:r>
          </w:p>
        </w:tc>
      </w:tr>
      <w:tr w:rsidR="00A40751" w:rsidRPr="00D05C14" w14:paraId="13FD1578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99F9349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2020</w:t>
            </w:r>
          </w:p>
        </w:tc>
        <w:tc>
          <w:tcPr>
            <w:tcW w:w="1662" w:type="dxa"/>
          </w:tcPr>
          <w:p w14:paraId="69E20F7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3 004</w:t>
            </w:r>
          </w:p>
        </w:tc>
        <w:tc>
          <w:tcPr>
            <w:tcW w:w="1662" w:type="dxa"/>
          </w:tcPr>
          <w:p w14:paraId="2079228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334</w:t>
            </w:r>
          </w:p>
        </w:tc>
        <w:tc>
          <w:tcPr>
            <w:tcW w:w="1662" w:type="dxa"/>
          </w:tcPr>
          <w:p w14:paraId="622F438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1 377</w:t>
            </w:r>
          </w:p>
        </w:tc>
        <w:tc>
          <w:tcPr>
            <w:tcW w:w="1662" w:type="dxa"/>
          </w:tcPr>
          <w:p w14:paraId="4A3E76B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11,1 %</w:t>
            </w:r>
          </w:p>
        </w:tc>
        <w:tc>
          <w:tcPr>
            <w:tcW w:w="1662" w:type="dxa"/>
          </w:tcPr>
          <w:p w14:paraId="595E5C0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45,8 %</w:t>
            </w:r>
          </w:p>
        </w:tc>
      </w:tr>
      <w:tr w:rsidR="00A40751" w:rsidRPr="00D05C14" w14:paraId="2C5EE2D6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6F2D546A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2021</w:t>
            </w:r>
          </w:p>
        </w:tc>
        <w:tc>
          <w:tcPr>
            <w:tcW w:w="1662" w:type="dxa"/>
          </w:tcPr>
          <w:p w14:paraId="390C4CB6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3 076</w:t>
            </w:r>
          </w:p>
        </w:tc>
        <w:tc>
          <w:tcPr>
            <w:tcW w:w="1662" w:type="dxa"/>
          </w:tcPr>
          <w:p w14:paraId="27E7B2A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365</w:t>
            </w:r>
          </w:p>
        </w:tc>
        <w:tc>
          <w:tcPr>
            <w:tcW w:w="1662" w:type="dxa"/>
          </w:tcPr>
          <w:p w14:paraId="7EBE07B5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1 454</w:t>
            </w:r>
          </w:p>
        </w:tc>
        <w:tc>
          <w:tcPr>
            <w:tcW w:w="1662" w:type="dxa"/>
          </w:tcPr>
          <w:p w14:paraId="5B3AB6C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11,9 %</w:t>
            </w:r>
          </w:p>
        </w:tc>
        <w:tc>
          <w:tcPr>
            <w:tcW w:w="1662" w:type="dxa"/>
          </w:tcPr>
          <w:p w14:paraId="7683765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47,3 %</w:t>
            </w:r>
          </w:p>
        </w:tc>
      </w:tr>
      <w:tr w:rsidR="00A40751" w:rsidRPr="00D05C14" w14:paraId="66915F37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4F30E450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2022</w:t>
            </w:r>
          </w:p>
        </w:tc>
        <w:tc>
          <w:tcPr>
            <w:tcW w:w="1662" w:type="dxa"/>
          </w:tcPr>
          <w:p w14:paraId="21B3B03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3 140</w:t>
            </w:r>
          </w:p>
        </w:tc>
        <w:tc>
          <w:tcPr>
            <w:tcW w:w="1662" w:type="dxa"/>
          </w:tcPr>
          <w:p w14:paraId="057C486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485</w:t>
            </w:r>
          </w:p>
        </w:tc>
        <w:tc>
          <w:tcPr>
            <w:tcW w:w="1662" w:type="dxa"/>
          </w:tcPr>
          <w:p w14:paraId="0BF2A57C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1 506</w:t>
            </w:r>
          </w:p>
        </w:tc>
        <w:tc>
          <w:tcPr>
            <w:tcW w:w="1662" w:type="dxa"/>
          </w:tcPr>
          <w:p w14:paraId="76C34881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15,4 %</w:t>
            </w:r>
          </w:p>
        </w:tc>
        <w:tc>
          <w:tcPr>
            <w:tcW w:w="1662" w:type="dxa"/>
          </w:tcPr>
          <w:p w14:paraId="3CC1817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48,0 %</w:t>
            </w:r>
          </w:p>
        </w:tc>
      </w:tr>
      <w:tr w:rsidR="00A40751" w:rsidRPr="00D05C14" w14:paraId="1333918F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71FEB3C5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2023</w:t>
            </w:r>
          </w:p>
        </w:tc>
        <w:tc>
          <w:tcPr>
            <w:tcW w:w="1662" w:type="dxa"/>
          </w:tcPr>
          <w:p w14:paraId="534370E5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3 140</w:t>
            </w:r>
          </w:p>
        </w:tc>
        <w:tc>
          <w:tcPr>
            <w:tcW w:w="1662" w:type="dxa"/>
          </w:tcPr>
          <w:p w14:paraId="5D4EE36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401</w:t>
            </w:r>
          </w:p>
        </w:tc>
        <w:tc>
          <w:tcPr>
            <w:tcW w:w="1662" w:type="dxa"/>
          </w:tcPr>
          <w:p w14:paraId="3677851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1 541</w:t>
            </w:r>
          </w:p>
        </w:tc>
        <w:tc>
          <w:tcPr>
            <w:tcW w:w="1662" w:type="dxa"/>
          </w:tcPr>
          <w:p w14:paraId="2239C1E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12,8 %</w:t>
            </w:r>
          </w:p>
        </w:tc>
        <w:tc>
          <w:tcPr>
            <w:tcW w:w="1662" w:type="dxa"/>
          </w:tcPr>
          <w:p w14:paraId="1CD0D97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49,1 %</w:t>
            </w:r>
          </w:p>
        </w:tc>
      </w:tr>
      <w:tr w:rsidR="00A40751" w:rsidRPr="00D05C14" w14:paraId="733A70CD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3C63E0EF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2024</w:t>
            </w:r>
          </w:p>
        </w:tc>
        <w:tc>
          <w:tcPr>
            <w:tcW w:w="1662" w:type="dxa"/>
          </w:tcPr>
          <w:p w14:paraId="5EB8FD5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3 036</w:t>
            </w:r>
          </w:p>
        </w:tc>
        <w:tc>
          <w:tcPr>
            <w:tcW w:w="1662" w:type="dxa"/>
          </w:tcPr>
          <w:p w14:paraId="79DB4472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419</w:t>
            </w:r>
          </w:p>
        </w:tc>
        <w:tc>
          <w:tcPr>
            <w:tcW w:w="1662" w:type="dxa"/>
          </w:tcPr>
          <w:p w14:paraId="6BDDCDC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1 501</w:t>
            </w:r>
          </w:p>
        </w:tc>
        <w:tc>
          <w:tcPr>
            <w:tcW w:w="1662" w:type="dxa"/>
          </w:tcPr>
          <w:p w14:paraId="372D7CE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13,8 %</w:t>
            </w:r>
          </w:p>
        </w:tc>
        <w:tc>
          <w:tcPr>
            <w:tcW w:w="1662" w:type="dxa"/>
          </w:tcPr>
          <w:p w14:paraId="671D89C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49,4 %</w:t>
            </w:r>
          </w:p>
        </w:tc>
      </w:tr>
      <w:tr w:rsidR="00A40751" w:rsidRPr="00D05C14" w14:paraId="60A6642A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2" w:type="dxa"/>
          </w:tcPr>
          <w:p w14:paraId="24065173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2025</w:t>
            </w:r>
          </w:p>
        </w:tc>
        <w:tc>
          <w:tcPr>
            <w:tcW w:w="1662" w:type="dxa"/>
          </w:tcPr>
          <w:p w14:paraId="216F6EB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2 542</w:t>
            </w:r>
          </w:p>
        </w:tc>
        <w:tc>
          <w:tcPr>
            <w:tcW w:w="1662" w:type="dxa"/>
          </w:tcPr>
          <w:p w14:paraId="4AF61B7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393</w:t>
            </w:r>
          </w:p>
        </w:tc>
        <w:tc>
          <w:tcPr>
            <w:tcW w:w="1662" w:type="dxa"/>
          </w:tcPr>
          <w:p w14:paraId="5E88BA0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1 289</w:t>
            </w:r>
          </w:p>
        </w:tc>
        <w:tc>
          <w:tcPr>
            <w:tcW w:w="1662" w:type="dxa"/>
          </w:tcPr>
          <w:p w14:paraId="3E54E2C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15,5 %</w:t>
            </w:r>
          </w:p>
        </w:tc>
        <w:tc>
          <w:tcPr>
            <w:tcW w:w="1662" w:type="dxa"/>
          </w:tcPr>
          <w:p w14:paraId="598BBB8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50,7 %</w:t>
            </w:r>
          </w:p>
        </w:tc>
      </w:tr>
    </w:tbl>
    <w:p w14:paraId="6A5D8096" w14:textId="77777777" w:rsidR="00A40751" w:rsidRPr="00D05C14" w:rsidRDefault="00A40751">
      <w:pPr>
        <w:rPr>
          <w:lang w:val="es-ES"/>
        </w:rPr>
      </w:pPr>
    </w:p>
    <w:p w14:paraId="201AF8D3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Acumulado del periodo:</w:t>
      </w:r>
      <w:r w:rsidRPr="00D05C14">
        <w:rPr>
          <w:lang w:val="es-ES"/>
        </w:rPr>
        <w:t xml:space="preserve"> 23 777 estancias → 2 906 con CAM </w:t>
      </w:r>
      <w:r w:rsidRPr="00D05C14">
        <w:rPr>
          <w:b/>
          <w:lang w:val="es-ES"/>
        </w:rPr>
        <w:t>todos</w:t>
      </w:r>
      <w:r w:rsidRPr="00D05C14">
        <w:rPr>
          <w:lang w:val="es-ES"/>
        </w:rPr>
        <w:t xml:space="preserve"> los días (12,2 %), 10 751 con CAM algún día (45,2 %).</w:t>
      </w:r>
    </w:p>
    <w:p w14:paraId="45C8739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Por UCI (acumulado):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40751" w:rsidRPr="00D05C14" w14:paraId="4B995FC4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D9E2F3"/>
          </w:tcPr>
          <w:p w14:paraId="3606755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UCI</w:t>
            </w:r>
          </w:p>
        </w:tc>
        <w:tc>
          <w:tcPr>
            <w:tcW w:w="2493" w:type="dxa"/>
            <w:shd w:val="clear" w:color="auto" w:fill="D9E2F3"/>
          </w:tcPr>
          <w:p w14:paraId="30D15C02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Estancias</w:t>
            </w:r>
          </w:p>
        </w:tc>
        <w:tc>
          <w:tcPr>
            <w:tcW w:w="2493" w:type="dxa"/>
            <w:shd w:val="clear" w:color="auto" w:fill="D9E2F3"/>
          </w:tcPr>
          <w:p w14:paraId="6AC38FCA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todos los días</w:t>
            </w:r>
          </w:p>
        </w:tc>
        <w:tc>
          <w:tcPr>
            <w:tcW w:w="2493" w:type="dxa"/>
            <w:shd w:val="clear" w:color="auto" w:fill="D9E2F3"/>
          </w:tcPr>
          <w:p w14:paraId="6B703B21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 algún día</w:t>
            </w:r>
          </w:p>
        </w:tc>
      </w:tr>
      <w:tr w:rsidR="00A40751" w:rsidRPr="00D05C14" w14:paraId="1E71F426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5FBC8E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E103</w:t>
            </w:r>
          </w:p>
        </w:tc>
        <w:tc>
          <w:tcPr>
            <w:tcW w:w="2493" w:type="dxa"/>
          </w:tcPr>
          <w:p w14:paraId="37582D6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4 163</w:t>
            </w:r>
          </w:p>
        </w:tc>
        <w:tc>
          <w:tcPr>
            <w:tcW w:w="2493" w:type="dxa"/>
          </w:tcPr>
          <w:p w14:paraId="4CD375B4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26,2 %</w:t>
            </w:r>
          </w:p>
        </w:tc>
        <w:tc>
          <w:tcPr>
            <w:tcW w:w="2493" w:type="dxa"/>
          </w:tcPr>
          <w:p w14:paraId="675762B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79,0 %</w:t>
            </w:r>
          </w:p>
        </w:tc>
      </w:tr>
      <w:tr w:rsidR="00A40751" w:rsidRPr="00D05C14" w14:paraId="49160FD1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4B01319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E016</w:t>
            </w:r>
          </w:p>
        </w:tc>
        <w:tc>
          <w:tcPr>
            <w:tcW w:w="2493" w:type="dxa"/>
          </w:tcPr>
          <w:p w14:paraId="41D96FE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4 709</w:t>
            </w:r>
          </w:p>
        </w:tc>
        <w:tc>
          <w:tcPr>
            <w:tcW w:w="2493" w:type="dxa"/>
          </w:tcPr>
          <w:p w14:paraId="4DA62E15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19,3 %</w:t>
            </w:r>
          </w:p>
        </w:tc>
        <w:tc>
          <w:tcPr>
            <w:tcW w:w="2493" w:type="dxa"/>
          </w:tcPr>
          <w:p w14:paraId="7B42B49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44,7 %</w:t>
            </w:r>
          </w:p>
        </w:tc>
      </w:tr>
      <w:tr w:rsidR="00A40751" w:rsidRPr="00D05C14" w14:paraId="0B273F1D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E69A967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E057</w:t>
            </w:r>
          </w:p>
        </w:tc>
        <w:tc>
          <w:tcPr>
            <w:tcW w:w="2493" w:type="dxa"/>
          </w:tcPr>
          <w:p w14:paraId="6694C482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1 421</w:t>
            </w:r>
          </w:p>
        </w:tc>
        <w:tc>
          <w:tcPr>
            <w:tcW w:w="2493" w:type="dxa"/>
          </w:tcPr>
          <w:p w14:paraId="7443A53C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14,3 %</w:t>
            </w:r>
          </w:p>
        </w:tc>
        <w:tc>
          <w:tcPr>
            <w:tcW w:w="2493" w:type="dxa"/>
          </w:tcPr>
          <w:p w14:paraId="6226F23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53,3 %</w:t>
            </w:r>
          </w:p>
        </w:tc>
      </w:tr>
      <w:tr w:rsidR="00A40751" w:rsidRPr="00D05C14" w14:paraId="29930FC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BACFD2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E015</w:t>
            </w:r>
          </w:p>
        </w:tc>
        <w:tc>
          <w:tcPr>
            <w:tcW w:w="2493" w:type="dxa"/>
          </w:tcPr>
          <w:p w14:paraId="36795F52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2 369</w:t>
            </w:r>
          </w:p>
        </w:tc>
        <w:tc>
          <w:tcPr>
            <w:tcW w:w="2493" w:type="dxa"/>
          </w:tcPr>
          <w:p w14:paraId="694A9AA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9,3 %</w:t>
            </w:r>
          </w:p>
        </w:tc>
        <w:tc>
          <w:tcPr>
            <w:tcW w:w="2493" w:type="dxa"/>
          </w:tcPr>
          <w:p w14:paraId="6E1B54D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50,5 %</w:t>
            </w:r>
          </w:p>
        </w:tc>
      </w:tr>
      <w:tr w:rsidR="00A40751" w:rsidRPr="00D05C14" w14:paraId="3CD04B49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9D12461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E037</w:t>
            </w:r>
          </w:p>
        </w:tc>
        <w:tc>
          <w:tcPr>
            <w:tcW w:w="2493" w:type="dxa"/>
          </w:tcPr>
          <w:p w14:paraId="376D63F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588</w:t>
            </w:r>
          </w:p>
        </w:tc>
        <w:tc>
          <w:tcPr>
            <w:tcW w:w="2493" w:type="dxa"/>
          </w:tcPr>
          <w:p w14:paraId="7AA10CEA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9,0 %</w:t>
            </w:r>
          </w:p>
        </w:tc>
        <w:tc>
          <w:tcPr>
            <w:tcW w:w="2493" w:type="dxa"/>
          </w:tcPr>
          <w:p w14:paraId="0F79557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44,2 %</w:t>
            </w:r>
          </w:p>
        </w:tc>
      </w:tr>
      <w:tr w:rsidR="00A40751" w:rsidRPr="00D05C14" w14:paraId="33C6A18F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DE50AEF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E043</w:t>
            </w:r>
          </w:p>
        </w:tc>
        <w:tc>
          <w:tcPr>
            <w:tcW w:w="2493" w:type="dxa"/>
          </w:tcPr>
          <w:p w14:paraId="76E13D6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5 842</w:t>
            </w:r>
          </w:p>
        </w:tc>
        <w:tc>
          <w:tcPr>
            <w:tcW w:w="2493" w:type="dxa"/>
          </w:tcPr>
          <w:p w14:paraId="39FC81D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4,4 %</w:t>
            </w:r>
          </w:p>
        </w:tc>
        <w:tc>
          <w:tcPr>
            <w:tcW w:w="2493" w:type="dxa"/>
          </w:tcPr>
          <w:p w14:paraId="270CDEA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21,3 %</w:t>
            </w:r>
          </w:p>
        </w:tc>
      </w:tr>
      <w:tr w:rsidR="00A40751" w:rsidRPr="00D05C14" w14:paraId="1D812C74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630AC3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E014</w:t>
            </w:r>
          </w:p>
        </w:tc>
        <w:tc>
          <w:tcPr>
            <w:tcW w:w="2493" w:type="dxa"/>
          </w:tcPr>
          <w:p w14:paraId="744B7578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1 402</w:t>
            </w:r>
          </w:p>
        </w:tc>
        <w:tc>
          <w:tcPr>
            <w:tcW w:w="2493" w:type="dxa"/>
          </w:tcPr>
          <w:p w14:paraId="0DE6855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4,2 %</w:t>
            </w:r>
          </w:p>
        </w:tc>
        <w:tc>
          <w:tcPr>
            <w:tcW w:w="2493" w:type="dxa"/>
          </w:tcPr>
          <w:p w14:paraId="5F96211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45,6 %</w:t>
            </w:r>
          </w:p>
        </w:tc>
      </w:tr>
      <w:tr w:rsidR="00A40751" w:rsidRPr="00D05C14" w14:paraId="186B1F8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F932C9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E073</w:t>
            </w:r>
          </w:p>
        </w:tc>
        <w:tc>
          <w:tcPr>
            <w:tcW w:w="2493" w:type="dxa"/>
          </w:tcPr>
          <w:p w14:paraId="4C227D8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3 283</w:t>
            </w:r>
          </w:p>
        </w:tc>
        <w:tc>
          <w:tcPr>
            <w:tcW w:w="2493" w:type="dxa"/>
          </w:tcPr>
          <w:p w14:paraId="6235F09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3,6 %</w:t>
            </w:r>
          </w:p>
        </w:tc>
        <w:tc>
          <w:tcPr>
            <w:tcW w:w="2493" w:type="dxa"/>
          </w:tcPr>
          <w:p w14:paraId="4A5ACCA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38,4 %</w:t>
            </w:r>
          </w:p>
        </w:tc>
      </w:tr>
    </w:tbl>
    <w:p w14:paraId="60A56298" w14:textId="77777777" w:rsidR="00A40751" w:rsidRPr="00D05C14" w:rsidRDefault="00A40751">
      <w:pPr>
        <w:rPr>
          <w:lang w:val="es-ES"/>
        </w:rPr>
      </w:pPr>
    </w:p>
    <w:p w14:paraId="43C45848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Lectura:</w:t>
      </w:r>
      <w:r w:rsidRPr="00D05C14">
        <w:rPr>
          <w:lang w:val="es-ES"/>
        </w:rPr>
        <w:t xml:space="preserve"> la cobertura "completa" diaria pasa del 8 % en 2018 al 15–16 % en 2024–2025 (mejora gradual). E103 sigue claramente por delante (≈ 28 % en 2025) y E016 sube hasta 37 % en 2025. E043, E057, E073, E037 quedan por debajo del 10 %. Más de la mitad de las estancias </w:t>
      </w:r>
      <w:r w:rsidRPr="00D05C14">
        <w:rPr>
          <w:b/>
          <w:lang w:val="es-ES"/>
        </w:rPr>
        <w:t>no tienen ni un solo CAM-ICU</w:t>
      </w:r>
      <w:r w:rsidRPr="00D05C14">
        <w:rPr>
          <w:lang w:val="es-ES"/>
        </w:rPr>
        <w:t xml:space="preserve"> registrado en algún día (denominador "algún día" = 45 %).</w:t>
      </w:r>
    </w:p>
    <w:p w14:paraId="5E7B8DAF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44F75003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lastRenderedPageBreak/>
        <w:t>Figura 5 — Cobertura diaria excluyendo días con RASS −5/−4</w:t>
      </w:r>
    </w:p>
    <w:p w14:paraId="5EC549F8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noProof/>
          <w:lang w:val="es-ES"/>
        </w:rPr>
        <w:drawing>
          <wp:inline distT="0" distB="0" distL="0" distR="0" wp14:anchorId="03E02A56" wp14:editId="49C4E023">
            <wp:extent cx="5760720" cy="3113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micu_daily_coverage_excl_deep_rass_by_ic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A8DA" w14:textId="77777777" w:rsidR="00A40751" w:rsidRPr="00D05C14" w:rsidRDefault="00000000">
      <w:pPr>
        <w:jc w:val="center"/>
        <w:rPr>
          <w:lang w:val="es-ES"/>
        </w:rPr>
      </w:pPr>
      <w:r w:rsidRPr="00D05C14">
        <w:rPr>
          <w:i/>
          <w:color w:val="555555"/>
          <w:sz w:val="18"/>
          <w:lang w:val="es-ES"/>
        </w:rPr>
        <w:t>Figura 5 — Cobertura diaria excluyendo días con RASS −5/−4</w:t>
      </w:r>
    </w:p>
    <w:p w14:paraId="74619366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Archivo:</w:t>
      </w:r>
      <w:r w:rsidRPr="00D05C14">
        <w:rPr>
          <w:lang w:val="es-ES"/>
        </w:rPr>
        <w:t xml:space="preserve"> </w:t>
      </w:r>
      <w:proofErr w:type="spellStart"/>
      <w:r w:rsidRPr="00D05C14">
        <w:rPr>
          <w:rFonts w:ascii="Consolas" w:hAnsi="Consolas"/>
          <w:sz w:val="20"/>
          <w:lang w:val="es-ES"/>
        </w:rPr>
        <w:t>plots</w:t>
      </w:r>
      <w:proofErr w:type="spellEnd"/>
      <w:r w:rsidRPr="00D05C14">
        <w:rPr>
          <w:rFonts w:ascii="Consolas" w:hAnsi="Consolas"/>
          <w:sz w:val="20"/>
          <w:lang w:val="es-ES"/>
        </w:rPr>
        <w:t>/camicu_daily_coverage_excl_deep_rass_by_icu.png</w:t>
      </w:r>
    </w:p>
    <w:p w14:paraId="5E60B8F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Fuente:</w:t>
      </w:r>
      <w:r w:rsidRPr="00D05C14">
        <w:rPr>
          <w:lang w:val="es-ES"/>
        </w:rPr>
        <w:t xml:space="preserve"> </w:t>
      </w:r>
      <w:r w:rsidRPr="00D05C14">
        <w:rPr>
          <w:rFonts w:ascii="Consolas" w:hAnsi="Consolas"/>
          <w:sz w:val="20"/>
          <w:lang w:val="es-ES"/>
        </w:rPr>
        <w:t>camicu_daily_coverage_excl_deep_rass.csv</w:t>
      </w:r>
    </w:p>
    <w:p w14:paraId="3FA416B9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Pregunta:</w:t>
      </w:r>
      <w:r w:rsidRPr="00D05C14">
        <w:rPr>
          <w:lang w:val="es-ES"/>
        </w:rPr>
        <w:t xml:space="preserve"> Igual que la figura 4 pero </w:t>
      </w:r>
      <w:r w:rsidRPr="00D05C14">
        <w:rPr>
          <w:b/>
          <w:lang w:val="es-ES"/>
        </w:rPr>
        <w:t>descontando</w:t>
      </w:r>
      <w:r w:rsidRPr="00D05C14">
        <w:rPr>
          <w:lang w:val="es-ES"/>
        </w:rPr>
        <w:t xml:space="preserve"> los días en los que el paciente está en sedación profunda (RASS −5 o −4) — días en los que el CAM-ICU es no valorable. El denominador del % por UCI es </w:t>
      </w:r>
      <w:r w:rsidRPr="00D05C14">
        <w:rPr>
          <w:b/>
          <w:lang w:val="es-ES"/>
        </w:rPr>
        <w:t>estancias con ≥1 día evaluable</w:t>
      </w:r>
      <w:r w:rsidRPr="00D05C14">
        <w:rPr>
          <w:lang w:val="es-ES"/>
        </w:rPr>
        <w:t>.</w:t>
      </w:r>
    </w:p>
    <w:p w14:paraId="150885E2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Resultados globales:</w:t>
      </w:r>
    </w:p>
    <w:p w14:paraId="0304FE4E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 xml:space="preserve">23 777 estancias totales · </w:t>
      </w:r>
      <w:r w:rsidRPr="00D05C14">
        <w:rPr>
          <w:b/>
          <w:lang w:val="es-ES"/>
        </w:rPr>
        <w:t>22 777</w:t>
      </w:r>
      <w:r w:rsidRPr="00D05C14">
        <w:rPr>
          <w:lang w:val="es-ES"/>
        </w:rPr>
        <w:t xml:space="preserve"> con ≥1 día evaluable · </w:t>
      </w:r>
      <w:r w:rsidRPr="00D05C14">
        <w:rPr>
          <w:b/>
          <w:lang w:val="es-ES"/>
        </w:rPr>
        <w:t>1 000</w:t>
      </w:r>
      <w:r w:rsidRPr="00D05C14">
        <w:rPr>
          <w:lang w:val="es-ES"/>
        </w:rPr>
        <w:t xml:space="preserve"> estancias enteras no evaluables (4,2 %).</w:t>
      </w:r>
    </w:p>
    <w:p w14:paraId="719CA996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 xml:space="preserve">4 376 estancias cumplen CAM en </w:t>
      </w:r>
      <w:r w:rsidRPr="00D05C14">
        <w:rPr>
          <w:b/>
          <w:lang w:val="es-ES"/>
        </w:rPr>
        <w:t>todos</w:t>
      </w:r>
      <w:r w:rsidRPr="00D05C14">
        <w:rPr>
          <w:lang w:val="es-ES"/>
        </w:rPr>
        <w:t xml:space="preserve"> sus días evaluables → </w:t>
      </w:r>
      <w:r w:rsidRPr="00D05C14">
        <w:rPr>
          <w:b/>
          <w:lang w:val="es-ES"/>
        </w:rPr>
        <w:t>19,2 %</w:t>
      </w:r>
      <w:r w:rsidRPr="00D05C14">
        <w:rPr>
          <w:lang w:val="es-ES"/>
        </w:rPr>
        <w:t xml:space="preserve"> global del periodo.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40751" w:rsidRPr="00D05C14" w14:paraId="6ECB5018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D9E2F3"/>
          </w:tcPr>
          <w:p w14:paraId="2222C2A0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Año</w:t>
            </w:r>
          </w:p>
        </w:tc>
        <w:tc>
          <w:tcPr>
            <w:tcW w:w="2493" w:type="dxa"/>
            <w:shd w:val="clear" w:color="auto" w:fill="D9E2F3"/>
          </w:tcPr>
          <w:p w14:paraId="2A914A85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Estancias evaluables</w:t>
            </w:r>
          </w:p>
        </w:tc>
        <w:tc>
          <w:tcPr>
            <w:tcW w:w="2493" w:type="dxa"/>
            <w:shd w:val="clear" w:color="auto" w:fill="D9E2F3"/>
          </w:tcPr>
          <w:p w14:paraId="22E4945A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Cumplen</w:t>
            </w:r>
          </w:p>
        </w:tc>
        <w:tc>
          <w:tcPr>
            <w:tcW w:w="2493" w:type="dxa"/>
            <w:shd w:val="clear" w:color="auto" w:fill="D9E2F3"/>
          </w:tcPr>
          <w:p w14:paraId="361C17D6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</w:t>
            </w:r>
          </w:p>
        </w:tc>
      </w:tr>
      <w:tr w:rsidR="00A40751" w:rsidRPr="00D05C14" w14:paraId="73AF3A44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8CCA361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2018</w:t>
            </w:r>
          </w:p>
        </w:tc>
        <w:tc>
          <w:tcPr>
            <w:tcW w:w="2493" w:type="dxa"/>
          </w:tcPr>
          <w:p w14:paraId="2DA4810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2 599</w:t>
            </w:r>
          </w:p>
        </w:tc>
        <w:tc>
          <w:tcPr>
            <w:tcW w:w="2493" w:type="dxa"/>
          </w:tcPr>
          <w:p w14:paraId="1AF7AE2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442</w:t>
            </w:r>
          </w:p>
        </w:tc>
        <w:tc>
          <w:tcPr>
            <w:tcW w:w="2493" w:type="dxa"/>
          </w:tcPr>
          <w:p w14:paraId="2AE0231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17,0 %</w:t>
            </w:r>
          </w:p>
        </w:tc>
      </w:tr>
      <w:tr w:rsidR="00A40751" w:rsidRPr="00D05C14" w14:paraId="3B9D0ABB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45B27C9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2019</w:t>
            </w:r>
          </w:p>
        </w:tc>
        <w:tc>
          <w:tcPr>
            <w:tcW w:w="2493" w:type="dxa"/>
          </w:tcPr>
          <w:p w14:paraId="5811FED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2 967</w:t>
            </w:r>
          </w:p>
        </w:tc>
        <w:tc>
          <w:tcPr>
            <w:tcW w:w="2493" w:type="dxa"/>
          </w:tcPr>
          <w:p w14:paraId="456A807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488</w:t>
            </w:r>
          </w:p>
        </w:tc>
        <w:tc>
          <w:tcPr>
            <w:tcW w:w="2493" w:type="dxa"/>
          </w:tcPr>
          <w:p w14:paraId="21CFCA9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16,4 %</w:t>
            </w:r>
          </w:p>
        </w:tc>
      </w:tr>
      <w:tr w:rsidR="00A40751" w:rsidRPr="00D05C14" w14:paraId="37ED81A8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2B18107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2020</w:t>
            </w:r>
          </w:p>
        </w:tc>
        <w:tc>
          <w:tcPr>
            <w:tcW w:w="2493" w:type="dxa"/>
          </w:tcPr>
          <w:p w14:paraId="3EAF9BE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2 853</w:t>
            </w:r>
          </w:p>
        </w:tc>
        <w:tc>
          <w:tcPr>
            <w:tcW w:w="2493" w:type="dxa"/>
          </w:tcPr>
          <w:p w14:paraId="71FC7C6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546</w:t>
            </w:r>
          </w:p>
        </w:tc>
        <w:tc>
          <w:tcPr>
            <w:tcW w:w="2493" w:type="dxa"/>
          </w:tcPr>
          <w:p w14:paraId="7E3E527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19,1 %</w:t>
            </w:r>
          </w:p>
        </w:tc>
      </w:tr>
      <w:tr w:rsidR="00A40751" w:rsidRPr="00D05C14" w14:paraId="51E51CF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D93E45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2021</w:t>
            </w:r>
          </w:p>
        </w:tc>
        <w:tc>
          <w:tcPr>
            <w:tcW w:w="2493" w:type="dxa"/>
          </w:tcPr>
          <w:p w14:paraId="1DAAF2E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2 906</w:t>
            </w:r>
          </w:p>
        </w:tc>
        <w:tc>
          <w:tcPr>
            <w:tcW w:w="2493" w:type="dxa"/>
          </w:tcPr>
          <w:p w14:paraId="4235954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570</w:t>
            </w:r>
          </w:p>
        </w:tc>
        <w:tc>
          <w:tcPr>
            <w:tcW w:w="2493" w:type="dxa"/>
          </w:tcPr>
          <w:p w14:paraId="1CADC82D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19,6 %</w:t>
            </w:r>
          </w:p>
        </w:tc>
      </w:tr>
      <w:tr w:rsidR="00A40751" w:rsidRPr="00D05C14" w14:paraId="6E9CCB6A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D953FE4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2022</w:t>
            </w:r>
          </w:p>
        </w:tc>
        <w:tc>
          <w:tcPr>
            <w:tcW w:w="2493" w:type="dxa"/>
          </w:tcPr>
          <w:p w14:paraId="41C0F9F3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3 050</w:t>
            </w:r>
          </w:p>
        </w:tc>
        <w:tc>
          <w:tcPr>
            <w:tcW w:w="2493" w:type="dxa"/>
          </w:tcPr>
          <w:p w14:paraId="2341BD3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625</w:t>
            </w:r>
          </w:p>
        </w:tc>
        <w:tc>
          <w:tcPr>
            <w:tcW w:w="2493" w:type="dxa"/>
          </w:tcPr>
          <w:p w14:paraId="2C059E7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20,5 %</w:t>
            </w:r>
          </w:p>
        </w:tc>
      </w:tr>
      <w:tr w:rsidR="00A40751" w:rsidRPr="00D05C14" w14:paraId="071F15D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0348457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2023</w:t>
            </w:r>
          </w:p>
        </w:tc>
        <w:tc>
          <w:tcPr>
            <w:tcW w:w="2493" w:type="dxa"/>
          </w:tcPr>
          <w:p w14:paraId="49C5C78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3 060</w:t>
            </w:r>
          </w:p>
        </w:tc>
        <w:tc>
          <w:tcPr>
            <w:tcW w:w="2493" w:type="dxa"/>
          </w:tcPr>
          <w:p w14:paraId="43859D8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539</w:t>
            </w:r>
          </w:p>
        </w:tc>
        <w:tc>
          <w:tcPr>
            <w:tcW w:w="2493" w:type="dxa"/>
          </w:tcPr>
          <w:p w14:paraId="77F82E8F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17,6 %</w:t>
            </w:r>
          </w:p>
        </w:tc>
      </w:tr>
      <w:tr w:rsidR="00A40751" w:rsidRPr="00D05C14" w14:paraId="48F325FB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E95B68A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2024</w:t>
            </w:r>
          </w:p>
        </w:tc>
        <w:tc>
          <w:tcPr>
            <w:tcW w:w="2493" w:type="dxa"/>
          </w:tcPr>
          <w:p w14:paraId="6088B960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2 908</w:t>
            </w:r>
          </w:p>
        </w:tc>
        <w:tc>
          <w:tcPr>
            <w:tcW w:w="2493" w:type="dxa"/>
          </w:tcPr>
          <w:p w14:paraId="783C91A1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620</w:t>
            </w:r>
          </w:p>
        </w:tc>
        <w:tc>
          <w:tcPr>
            <w:tcW w:w="2493" w:type="dxa"/>
          </w:tcPr>
          <w:p w14:paraId="46ABD40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21,3 %</w:t>
            </w:r>
          </w:p>
        </w:tc>
      </w:tr>
      <w:tr w:rsidR="00A40751" w:rsidRPr="00D05C14" w14:paraId="7092BBA8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304E28E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2025</w:t>
            </w:r>
          </w:p>
        </w:tc>
        <w:tc>
          <w:tcPr>
            <w:tcW w:w="2493" w:type="dxa"/>
          </w:tcPr>
          <w:p w14:paraId="5D74294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2 434</w:t>
            </w:r>
          </w:p>
        </w:tc>
        <w:tc>
          <w:tcPr>
            <w:tcW w:w="2493" w:type="dxa"/>
          </w:tcPr>
          <w:p w14:paraId="4C60F59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546</w:t>
            </w:r>
          </w:p>
        </w:tc>
        <w:tc>
          <w:tcPr>
            <w:tcW w:w="2493" w:type="dxa"/>
          </w:tcPr>
          <w:p w14:paraId="3EB994EA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22,4 %</w:t>
            </w:r>
          </w:p>
        </w:tc>
      </w:tr>
    </w:tbl>
    <w:p w14:paraId="48361664" w14:textId="77777777" w:rsidR="00A40751" w:rsidRPr="00D05C14" w:rsidRDefault="00A40751">
      <w:pPr>
        <w:rPr>
          <w:lang w:val="es-ES"/>
        </w:rPr>
      </w:pPr>
    </w:p>
    <w:p w14:paraId="5E05C5A1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Por UCI (acumulado):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40751" w:rsidRPr="00D05C14" w14:paraId="4F65127B" w14:textId="77777777" w:rsidTr="00A407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D9E2F3"/>
          </w:tcPr>
          <w:p w14:paraId="1E7BA06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UCI</w:t>
            </w:r>
          </w:p>
        </w:tc>
        <w:tc>
          <w:tcPr>
            <w:tcW w:w="1994" w:type="dxa"/>
            <w:shd w:val="clear" w:color="auto" w:fill="D9E2F3"/>
          </w:tcPr>
          <w:p w14:paraId="07C4A2DA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 xml:space="preserve">Estancias </w:t>
            </w:r>
            <w:proofErr w:type="spellStart"/>
            <w:r w:rsidRPr="00D05C14">
              <w:rPr>
                <w:lang w:val="es-ES"/>
              </w:rPr>
              <w:t>eval</w:t>
            </w:r>
            <w:proofErr w:type="spellEnd"/>
            <w:r w:rsidRPr="00D05C14">
              <w:rPr>
                <w:lang w:val="es-ES"/>
              </w:rPr>
              <w:t>.</w:t>
            </w:r>
          </w:p>
        </w:tc>
        <w:tc>
          <w:tcPr>
            <w:tcW w:w="1994" w:type="dxa"/>
            <w:shd w:val="clear" w:color="auto" w:fill="D9E2F3"/>
          </w:tcPr>
          <w:p w14:paraId="1DA8311B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 xml:space="preserve">Sin día </w:t>
            </w:r>
            <w:proofErr w:type="spellStart"/>
            <w:r w:rsidRPr="00D05C14">
              <w:rPr>
                <w:lang w:val="es-ES"/>
              </w:rPr>
              <w:t>eval</w:t>
            </w:r>
            <w:proofErr w:type="spellEnd"/>
            <w:r w:rsidRPr="00D05C14">
              <w:rPr>
                <w:lang w:val="es-ES"/>
              </w:rPr>
              <w:t>.</w:t>
            </w:r>
          </w:p>
        </w:tc>
        <w:tc>
          <w:tcPr>
            <w:tcW w:w="1994" w:type="dxa"/>
            <w:shd w:val="clear" w:color="auto" w:fill="D9E2F3"/>
          </w:tcPr>
          <w:p w14:paraId="58709D38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Cumplen</w:t>
            </w:r>
          </w:p>
        </w:tc>
        <w:tc>
          <w:tcPr>
            <w:tcW w:w="1994" w:type="dxa"/>
            <w:shd w:val="clear" w:color="auto" w:fill="D9E2F3"/>
          </w:tcPr>
          <w:p w14:paraId="734C40F6" w14:textId="77777777" w:rsidR="00A40751" w:rsidRPr="00D05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%</w:t>
            </w:r>
          </w:p>
        </w:tc>
      </w:tr>
      <w:tr w:rsidR="00A40751" w:rsidRPr="00D05C14" w14:paraId="58412171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382CEEC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lastRenderedPageBreak/>
              <w:t>E103</w:t>
            </w:r>
          </w:p>
        </w:tc>
        <w:tc>
          <w:tcPr>
            <w:tcW w:w="1994" w:type="dxa"/>
          </w:tcPr>
          <w:p w14:paraId="7C49368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3 932</w:t>
            </w:r>
          </w:p>
        </w:tc>
        <w:tc>
          <w:tcPr>
            <w:tcW w:w="1994" w:type="dxa"/>
          </w:tcPr>
          <w:p w14:paraId="1FBEEB5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231</w:t>
            </w:r>
          </w:p>
        </w:tc>
        <w:tc>
          <w:tcPr>
            <w:tcW w:w="1994" w:type="dxa"/>
          </w:tcPr>
          <w:p w14:paraId="7A56FE8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2 054</w:t>
            </w:r>
          </w:p>
        </w:tc>
        <w:tc>
          <w:tcPr>
            <w:tcW w:w="1994" w:type="dxa"/>
          </w:tcPr>
          <w:p w14:paraId="76709641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52,2 %</w:t>
            </w:r>
          </w:p>
        </w:tc>
      </w:tr>
      <w:tr w:rsidR="00A40751" w:rsidRPr="00D05C14" w14:paraId="763EBC31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5ACC032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E016</w:t>
            </w:r>
          </w:p>
        </w:tc>
        <w:tc>
          <w:tcPr>
            <w:tcW w:w="1994" w:type="dxa"/>
          </w:tcPr>
          <w:p w14:paraId="5F56175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4 530</w:t>
            </w:r>
          </w:p>
        </w:tc>
        <w:tc>
          <w:tcPr>
            <w:tcW w:w="1994" w:type="dxa"/>
          </w:tcPr>
          <w:p w14:paraId="04C9D13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179</w:t>
            </w:r>
          </w:p>
        </w:tc>
        <w:tc>
          <w:tcPr>
            <w:tcW w:w="1994" w:type="dxa"/>
          </w:tcPr>
          <w:p w14:paraId="4D6B69A4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1 077</w:t>
            </w:r>
          </w:p>
        </w:tc>
        <w:tc>
          <w:tcPr>
            <w:tcW w:w="1994" w:type="dxa"/>
          </w:tcPr>
          <w:p w14:paraId="2CC0A9C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23,8 %</w:t>
            </w:r>
          </w:p>
        </w:tc>
      </w:tr>
      <w:tr w:rsidR="00A40751" w:rsidRPr="00D05C14" w14:paraId="4D26CC8F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FC68FC5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E057</w:t>
            </w:r>
          </w:p>
        </w:tc>
        <w:tc>
          <w:tcPr>
            <w:tcW w:w="1994" w:type="dxa"/>
          </w:tcPr>
          <w:p w14:paraId="5F866F0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1 352</w:t>
            </w:r>
          </w:p>
        </w:tc>
        <w:tc>
          <w:tcPr>
            <w:tcW w:w="1994" w:type="dxa"/>
          </w:tcPr>
          <w:p w14:paraId="435E400D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69</w:t>
            </w:r>
          </w:p>
        </w:tc>
        <w:tc>
          <w:tcPr>
            <w:tcW w:w="1994" w:type="dxa"/>
          </w:tcPr>
          <w:p w14:paraId="11CC0AC4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265</w:t>
            </w:r>
          </w:p>
        </w:tc>
        <w:tc>
          <w:tcPr>
            <w:tcW w:w="1994" w:type="dxa"/>
          </w:tcPr>
          <w:p w14:paraId="5BC5C51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19,6 %</w:t>
            </w:r>
          </w:p>
        </w:tc>
      </w:tr>
      <w:tr w:rsidR="00A40751" w:rsidRPr="00D05C14" w14:paraId="4F52AB61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6482758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E015</w:t>
            </w:r>
          </w:p>
        </w:tc>
        <w:tc>
          <w:tcPr>
            <w:tcW w:w="1994" w:type="dxa"/>
          </w:tcPr>
          <w:p w14:paraId="7BE44F67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2 251</w:t>
            </w:r>
          </w:p>
        </w:tc>
        <w:tc>
          <w:tcPr>
            <w:tcW w:w="1994" w:type="dxa"/>
          </w:tcPr>
          <w:p w14:paraId="00C7109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118</w:t>
            </w:r>
          </w:p>
        </w:tc>
        <w:tc>
          <w:tcPr>
            <w:tcW w:w="1994" w:type="dxa"/>
          </w:tcPr>
          <w:p w14:paraId="6FD33E99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312</w:t>
            </w:r>
          </w:p>
        </w:tc>
        <w:tc>
          <w:tcPr>
            <w:tcW w:w="1994" w:type="dxa"/>
          </w:tcPr>
          <w:p w14:paraId="16156F11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13,9 %</w:t>
            </w:r>
          </w:p>
        </w:tc>
      </w:tr>
      <w:tr w:rsidR="00A40751" w:rsidRPr="00D05C14" w14:paraId="6F8DBD86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318577AA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E037</w:t>
            </w:r>
          </w:p>
        </w:tc>
        <w:tc>
          <w:tcPr>
            <w:tcW w:w="1994" w:type="dxa"/>
          </w:tcPr>
          <w:p w14:paraId="684C7CE9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572</w:t>
            </w:r>
          </w:p>
        </w:tc>
        <w:tc>
          <w:tcPr>
            <w:tcW w:w="1994" w:type="dxa"/>
          </w:tcPr>
          <w:p w14:paraId="5960F3C6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16</w:t>
            </w:r>
          </w:p>
        </w:tc>
        <w:tc>
          <w:tcPr>
            <w:tcW w:w="1994" w:type="dxa"/>
          </w:tcPr>
          <w:p w14:paraId="7774D9CE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75</w:t>
            </w:r>
          </w:p>
        </w:tc>
        <w:tc>
          <w:tcPr>
            <w:tcW w:w="1994" w:type="dxa"/>
          </w:tcPr>
          <w:p w14:paraId="58D49CBC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13,1 %</w:t>
            </w:r>
          </w:p>
        </w:tc>
      </w:tr>
      <w:tr w:rsidR="00A40751" w:rsidRPr="00D05C14" w14:paraId="35E6F524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2BACA6BB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E043</w:t>
            </w:r>
          </w:p>
        </w:tc>
        <w:tc>
          <w:tcPr>
            <w:tcW w:w="1994" w:type="dxa"/>
          </w:tcPr>
          <w:p w14:paraId="198520BD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5 628</w:t>
            </w:r>
          </w:p>
        </w:tc>
        <w:tc>
          <w:tcPr>
            <w:tcW w:w="1994" w:type="dxa"/>
          </w:tcPr>
          <w:p w14:paraId="2345AD1B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214</w:t>
            </w:r>
          </w:p>
        </w:tc>
        <w:tc>
          <w:tcPr>
            <w:tcW w:w="1994" w:type="dxa"/>
          </w:tcPr>
          <w:p w14:paraId="430EB25C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356</w:t>
            </w:r>
          </w:p>
        </w:tc>
        <w:tc>
          <w:tcPr>
            <w:tcW w:w="1994" w:type="dxa"/>
          </w:tcPr>
          <w:p w14:paraId="25DD4D30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6,3 %</w:t>
            </w:r>
          </w:p>
        </w:tc>
      </w:tr>
      <w:tr w:rsidR="00A40751" w:rsidRPr="00D05C14" w14:paraId="54ABD42E" w14:textId="77777777" w:rsidTr="00A407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78574396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E014</w:t>
            </w:r>
          </w:p>
        </w:tc>
        <w:tc>
          <w:tcPr>
            <w:tcW w:w="1994" w:type="dxa"/>
          </w:tcPr>
          <w:p w14:paraId="46C8C5B5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1 344</w:t>
            </w:r>
          </w:p>
        </w:tc>
        <w:tc>
          <w:tcPr>
            <w:tcW w:w="1994" w:type="dxa"/>
          </w:tcPr>
          <w:p w14:paraId="1F55801B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58</w:t>
            </w:r>
          </w:p>
        </w:tc>
        <w:tc>
          <w:tcPr>
            <w:tcW w:w="1994" w:type="dxa"/>
          </w:tcPr>
          <w:p w14:paraId="2E204CFF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80</w:t>
            </w:r>
          </w:p>
        </w:tc>
        <w:tc>
          <w:tcPr>
            <w:tcW w:w="1994" w:type="dxa"/>
          </w:tcPr>
          <w:p w14:paraId="2836AD87" w14:textId="77777777" w:rsidR="00A40751" w:rsidRPr="00D05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6,0 %</w:t>
            </w:r>
          </w:p>
        </w:tc>
      </w:tr>
      <w:tr w:rsidR="00A40751" w:rsidRPr="00D05C14" w14:paraId="67816E56" w14:textId="77777777" w:rsidTr="00A4075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</w:tcPr>
          <w:p w14:paraId="5EF7D521" w14:textId="77777777" w:rsidR="00A40751" w:rsidRPr="00D05C14" w:rsidRDefault="00000000">
            <w:pPr>
              <w:rPr>
                <w:lang w:val="es-ES"/>
              </w:rPr>
            </w:pPr>
            <w:r w:rsidRPr="00D05C14">
              <w:rPr>
                <w:lang w:val="es-ES"/>
              </w:rPr>
              <w:t>E073</w:t>
            </w:r>
          </w:p>
        </w:tc>
        <w:tc>
          <w:tcPr>
            <w:tcW w:w="1994" w:type="dxa"/>
          </w:tcPr>
          <w:p w14:paraId="64B84CD2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3 168</w:t>
            </w:r>
          </w:p>
        </w:tc>
        <w:tc>
          <w:tcPr>
            <w:tcW w:w="1994" w:type="dxa"/>
          </w:tcPr>
          <w:p w14:paraId="0D67FB78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115</w:t>
            </w:r>
          </w:p>
        </w:tc>
        <w:tc>
          <w:tcPr>
            <w:tcW w:w="1994" w:type="dxa"/>
          </w:tcPr>
          <w:p w14:paraId="6926E2A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lang w:val="es-ES"/>
              </w:rPr>
              <w:t>157</w:t>
            </w:r>
          </w:p>
        </w:tc>
        <w:tc>
          <w:tcPr>
            <w:tcW w:w="1994" w:type="dxa"/>
          </w:tcPr>
          <w:p w14:paraId="13D18253" w14:textId="77777777" w:rsidR="00A40751" w:rsidRPr="00D05C1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s-ES"/>
              </w:rPr>
            </w:pPr>
            <w:r w:rsidRPr="00D05C14">
              <w:rPr>
                <w:b/>
                <w:lang w:val="es-ES"/>
              </w:rPr>
              <w:t>5,0 %</w:t>
            </w:r>
          </w:p>
        </w:tc>
      </w:tr>
    </w:tbl>
    <w:p w14:paraId="6B72BE51" w14:textId="77777777" w:rsidR="00A40751" w:rsidRPr="00D05C14" w:rsidRDefault="00A40751">
      <w:pPr>
        <w:rPr>
          <w:lang w:val="es-ES"/>
        </w:rPr>
      </w:pPr>
    </w:p>
    <w:p w14:paraId="2BFC2AE7" w14:textId="77777777" w:rsidR="00A40751" w:rsidRPr="00D05C14" w:rsidRDefault="00000000">
      <w:pPr>
        <w:rPr>
          <w:lang w:val="es-ES"/>
        </w:rPr>
      </w:pPr>
      <w:r w:rsidRPr="00D05C14">
        <w:rPr>
          <w:b/>
          <w:lang w:val="es-ES"/>
        </w:rPr>
        <w:t>Lectura:</w:t>
      </w:r>
      <w:r w:rsidRPr="00D05C14">
        <w:rPr>
          <w:lang w:val="es-ES"/>
        </w:rPr>
        <w:t xml:space="preserve"> al descontar los días no valorables, la cifra global sube del 12 % al </w:t>
      </w:r>
      <w:r w:rsidRPr="00D05C14">
        <w:rPr>
          <w:b/>
          <w:lang w:val="es-ES"/>
        </w:rPr>
        <w:t>19 %</w:t>
      </w:r>
      <w:r w:rsidRPr="00D05C14">
        <w:rPr>
          <w:lang w:val="es-ES"/>
        </w:rPr>
        <w:t xml:space="preserve"> (y a 22 % en 2025). E103 mejora muchísimo (de 26 % a 52 %), confirmando que parte de su carga eran días de sedación profunda. E016 también escala hasta ~45 % en 2025. Las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 digestivas/respiratorias (E073, E014, E043) siguen por debajo del 10 % incluso con el ajuste — es un problema real de registro, no de pacientes </w:t>
      </w:r>
      <w:proofErr w:type="spellStart"/>
      <w:r w:rsidRPr="00D05C14">
        <w:rPr>
          <w:lang w:val="es-ES"/>
        </w:rPr>
        <w:t>inevaluables</w:t>
      </w:r>
      <w:proofErr w:type="spellEnd"/>
      <w:r w:rsidRPr="00D05C14">
        <w:rPr>
          <w:lang w:val="es-ES"/>
        </w:rPr>
        <w:t>.</w:t>
      </w:r>
    </w:p>
    <w:p w14:paraId="0406B4F7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1059216E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Resumen ejecutivo</w:t>
      </w:r>
    </w:p>
    <w:p w14:paraId="46642731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>Cohorte total analizada:</w:t>
      </w:r>
      <w:r w:rsidRPr="00D05C14">
        <w:rPr>
          <w:lang w:val="es-ES"/>
        </w:rPr>
        <w:t xml:space="preserve"> 8 </w:t>
      </w:r>
      <w:proofErr w:type="spellStart"/>
      <w:r w:rsidRPr="00D05C14">
        <w:rPr>
          <w:lang w:val="es-ES"/>
        </w:rPr>
        <w:t>UCIs</w:t>
      </w:r>
      <w:proofErr w:type="spellEnd"/>
      <w:r w:rsidRPr="00D05C14">
        <w:rPr>
          <w:lang w:val="es-ES"/>
        </w:rPr>
        <w:t xml:space="preserve"> (E014, E015, E016, E037, E043, E057, E073, E103); 2018–2025; </w:t>
      </w:r>
      <w:r w:rsidRPr="00D05C14">
        <w:rPr>
          <w:b/>
          <w:lang w:val="es-ES"/>
        </w:rPr>
        <w:t>23 777 estancias UCI cerradas</w:t>
      </w:r>
      <w:r w:rsidRPr="00D05C14">
        <w:rPr>
          <w:lang w:val="es-ES"/>
        </w:rPr>
        <w:t xml:space="preserve">, </w:t>
      </w:r>
      <w:r w:rsidRPr="00D05C14">
        <w:rPr>
          <w:b/>
          <w:lang w:val="es-ES"/>
        </w:rPr>
        <w:t>223 066 registros CAM-ICU</w:t>
      </w:r>
      <w:r w:rsidRPr="00D05C14">
        <w:rPr>
          <w:lang w:val="es-ES"/>
        </w:rPr>
        <w:t xml:space="preserve"> y </w:t>
      </w:r>
      <w:r w:rsidRPr="00D05C14">
        <w:rPr>
          <w:b/>
          <w:lang w:val="es-ES"/>
        </w:rPr>
        <w:t>59 108 turnos elegibles</w:t>
      </w:r>
      <w:r w:rsidRPr="00D05C14">
        <w:rPr>
          <w:lang w:val="es-ES"/>
        </w:rPr>
        <w:t xml:space="preserve"> evaluados.</w:t>
      </w:r>
    </w:p>
    <w:p w14:paraId="0B405F6A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 xml:space="preserve">Cumplimiento por turno (RASS in </w:t>
      </w:r>
      <w:proofErr w:type="spellStart"/>
      <w:r w:rsidRPr="00D05C14">
        <w:rPr>
          <w:b/>
          <w:lang w:val="es-ES"/>
        </w:rPr>
        <w:t>range</w:t>
      </w:r>
      <w:proofErr w:type="spellEnd"/>
      <w:r w:rsidRPr="00D05C14">
        <w:rPr>
          <w:b/>
          <w:lang w:val="es-ES"/>
        </w:rPr>
        <w:t>):</w:t>
      </w:r>
      <w:r w:rsidRPr="00D05C14">
        <w:rPr>
          <w:lang w:val="es-ES"/>
        </w:rPr>
        <w:t xml:space="preserve"> 11,0 % global del periodo, con tendencia descendente desde 2022. Turno noche el mejor (12,1 %), mañana el peor (9,7 %).</w:t>
      </w:r>
    </w:p>
    <w:p w14:paraId="3F992C77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>Positividad CAM-ICU:</w:t>
      </w:r>
      <w:r w:rsidRPr="00D05C14">
        <w:rPr>
          <w:lang w:val="es-ES"/>
        </w:rPr>
        <w:t xml:space="preserve"> 90,5 % de los CAM-ICU registrados son positivos, estable a lo largo de 8 años. Sugiere registro selectivo (por sospecha) más que cribado universal.</w:t>
      </w:r>
    </w:p>
    <w:p w14:paraId="724BAB97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>Cobertura diaria completa:</w:t>
      </w:r>
      <w:r w:rsidRPr="00D05C14">
        <w:rPr>
          <w:lang w:val="es-ES"/>
        </w:rPr>
        <w:t xml:space="preserve"> 12,2 % global (15 % en 2025) si se exigen todos los días calendario; sube a 19,2 % (22 % en 2025) si se descuentan días con RASS −5/−4.</w:t>
      </w:r>
    </w:p>
    <w:p w14:paraId="5C02C24E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b/>
          <w:lang w:val="es-ES"/>
        </w:rPr>
        <w:t xml:space="preserve">Heterogeneidad entre </w:t>
      </w:r>
      <w:proofErr w:type="spellStart"/>
      <w:r w:rsidRPr="00D05C14">
        <w:rPr>
          <w:b/>
          <w:lang w:val="es-ES"/>
        </w:rPr>
        <w:t>UCIs</w:t>
      </w:r>
      <w:proofErr w:type="spellEnd"/>
      <w:r w:rsidRPr="00D05C14">
        <w:rPr>
          <w:b/>
          <w:lang w:val="es-ES"/>
        </w:rPr>
        <w:t xml:space="preserve"> muy marcada:</w:t>
      </w:r>
      <w:r w:rsidRPr="00D05C14">
        <w:rPr>
          <w:lang w:val="es-ES"/>
        </w:rPr>
        <w:t xml:space="preserve"> E103 lidera en cumplimiento, cobertura y positividad; E073 y E014 son las que más espacio de mejora tienen en registro.</w:t>
      </w:r>
    </w:p>
    <w:p w14:paraId="70E50D50" w14:textId="77777777" w:rsidR="00A40751" w:rsidRPr="00D05C14" w:rsidRDefault="00A40751">
      <w:pPr>
        <w:pBdr>
          <w:bottom w:val="single" w:sz="6" w:space="1" w:color="999999"/>
        </w:pBdr>
        <w:rPr>
          <w:lang w:val="es-ES"/>
        </w:rPr>
      </w:pPr>
    </w:p>
    <w:p w14:paraId="1E3CB43E" w14:textId="77777777" w:rsidR="00A40751" w:rsidRPr="00D05C14" w:rsidRDefault="00000000">
      <w:pPr>
        <w:pStyle w:val="Ttulo2"/>
        <w:rPr>
          <w:lang w:val="es-ES"/>
        </w:rPr>
      </w:pPr>
      <w:r w:rsidRPr="00D05C14">
        <w:rPr>
          <w:lang w:val="es-ES"/>
        </w:rPr>
        <w:t>Limitaciones (recordatorio)</w:t>
      </w:r>
    </w:p>
    <w:p w14:paraId="19DB83DF" w14:textId="21301A70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 xml:space="preserve">Mide </w:t>
      </w:r>
      <w:r w:rsidRPr="00D05C14">
        <w:rPr>
          <w:b/>
          <w:lang w:val="es-ES"/>
        </w:rPr>
        <w:t xml:space="preserve">lo que consta en </w:t>
      </w:r>
      <w:proofErr w:type="spellStart"/>
      <w:r w:rsidRPr="00D05C14">
        <w:rPr>
          <w:b/>
          <w:lang w:val="es-ES"/>
        </w:rPr>
        <w:t>DataNex</w:t>
      </w:r>
      <w:proofErr w:type="spellEnd"/>
      <w:r w:rsidRPr="00D05C14">
        <w:rPr>
          <w:lang w:val="es-ES"/>
        </w:rPr>
        <w:t xml:space="preserve">, no la práctica </w:t>
      </w:r>
      <w:r w:rsidR="00D05C14">
        <w:rPr>
          <w:lang w:val="es-ES"/>
        </w:rPr>
        <w:t xml:space="preserve">clínica </w:t>
      </w:r>
      <w:r w:rsidRPr="00D05C14">
        <w:rPr>
          <w:lang w:val="es-ES"/>
        </w:rPr>
        <w:t>no registrada.</w:t>
      </w:r>
    </w:p>
    <w:p w14:paraId="155EB138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 xml:space="preserve">El cumplimiento por turno </w:t>
      </w:r>
      <w:r w:rsidRPr="00D05C14">
        <w:rPr>
          <w:b/>
          <w:lang w:val="es-ES"/>
        </w:rPr>
        <w:t>solo</w:t>
      </w:r>
      <w:r w:rsidRPr="00D05C14">
        <w:rPr>
          <w:lang w:val="es-ES"/>
        </w:rPr>
        <w:t xml:space="preserve"> considera turnos con RASS −3…+4; turnos sin RASS no entran en el denominador.</w:t>
      </w:r>
    </w:p>
    <w:p w14:paraId="6CC17573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>La cobertura diaria base no condiciona al RASS — un paciente sedado profundo cuenta como "día sin CAM" en la figura 4 pero no en la figura 5.</w:t>
      </w:r>
    </w:p>
    <w:p w14:paraId="54C3C140" w14:textId="77777777" w:rsidR="00A40751" w:rsidRPr="00D05C14" w:rsidRDefault="00000000">
      <w:pPr>
        <w:pStyle w:val="Listaconvietas"/>
        <w:rPr>
          <w:lang w:val="es-ES"/>
        </w:rPr>
      </w:pPr>
      <w:r w:rsidRPr="00D05C14">
        <w:rPr>
          <w:lang w:val="es-ES"/>
        </w:rPr>
        <w:t>Estancias enteramente con RASS −5/−4 (1 000 en el periodo) no aportan numerador ni denominador en la figura 5.</w:t>
      </w:r>
    </w:p>
    <w:sectPr w:rsidR="00A40751" w:rsidRPr="00D05C14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215950">
    <w:abstractNumId w:val="8"/>
  </w:num>
  <w:num w:numId="2" w16cid:durableId="497355827">
    <w:abstractNumId w:val="6"/>
  </w:num>
  <w:num w:numId="3" w16cid:durableId="1918202200">
    <w:abstractNumId w:val="5"/>
  </w:num>
  <w:num w:numId="4" w16cid:durableId="605429281">
    <w:abstractNumId w:val="4"/>
  </w:num>
  <w:num w:numId="5" w16cid:durableId="1033649121">
    <w:abstractNumId w:val="7"/>
  </w:num>
  <w:num w:numId="6" w16cid:durableId="271479816">
    <w:abstractNumId w:val="3"/>
  </w:num>
  <w:num w:numId="7" w16cid:durableId="962005535">
    <w:abstractNumId w:val="2"/>
  </w:num>
  <w:num w:numId="8" w16cid:durableId="1569346282">
    <w:abstractNumId w:val="1"/>
  </w:num>
  <w:num w:numId="9" w16cid:durableId="45405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CB0"/>
    <w:rsid w:val="00A40751"/>
    <w:rsid w:val="00AA1D8D"/>
    <w:rsid w:val="00B47730"/>
    <w:rsid w:val="00CB0664"/>
    <w:rsid w:val="00D05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6E8E72"/>
  <w14:defaultImageDpi w14:val="300"/>
  <w15:docId w15:val="{8EC27C9D-44C4-EE45-A830-9C6E8414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1813</Words>
  <Characters>8251</Characters>
  <Application>Microsoft Office Word</Application>
  <DocSecurity>0</DocSecurity>
  <Lines>485</Lines>
  <Paragraphs>457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BASSEGODA, OCTAVI (ICMDM)</cp:lastModifiedBy>
  <cp:revision>2</cp:revision>
  <dcterms:created xsi:type="dcterms:W3CDTF">2013-12-23T23:15:00Z</dcterms:created>
  <dcterms:modified xsi:type="dcterms:W3CDTF">2026-05-07T12:42:00Z</dcterms:modified>
  <cp:category/>
</cp:coreProperties>
</file>