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44B28" w14:textId="582BE25A" w:rsidR="008322DD" w:rsidRPr="008322DD" w:rsidRDefault="00E538A0" w:rsidP="008322DD">
      <w:pPr>
        <w:jc w:val="both"/>
        <w:rPr>
          <w:b/>
          <w:bCs/>
        </w:rPr>
      </w:pPr>
      <w:r w:rsidRPr="00E538A0">
        <w:rPr>
          <w:b/>
          <w:bCs/>
        </w:rPr>
        <w:t>COMPARATIVE ANALYSIS OF CHEMICAL SPACE COVERAGE FOR GLUCOCORTICOID RECEPTOR LIGANDS</w:t>
      </w:r>
    </w:p>
    <w:p w14:paraId="23C414FA" w14:textId="77777777" w:rsidR="008322DD" w:rsidRPr="008322DD" w:rsidRDefault="008322DD" w:rsidP="008322DD">
      <w:pPr>
        <w:jc w:val="both"/>
      </w:pPr>
      <w:r w:rsidRPr="008322DD">
        <w:t>Datasets: Reference (ChEMBL2034), DrugEx_GT_epsilon_0.6, GB_GA_mut_r_0.5</w:t>
      </w:r>
    </w:p>
    <w:p w14:paraId="34656D53" w14:textId="2F863978" w:rsidR="008322DD" w:rsidRPr="00300BCF" w:rsidRDefault="008322DD" w:rsidP="008322DD">
      <w:pPr>
        <w:jc w:val="both"/>
        <w:rPr>
          <w:b/>
          <w:bCs/>
        </w:rPr>
      </w:pPr>
      <w:r w:rsidRPr="00300BCF">
        <w:rPr>
          <w:b/>
          <w:bCs/>
        </w:rPr>
        <w:t>Introduction</w:t>
      </w:r>
    </w:p>
    <w:p w14:paraId="6817B072" w14:textId="7DEC0848" w:rsidR="008322DD" w:rsidRPr="008322DD" w:rsidRDefault="008322DD" w:rsidP="008322DD">
      <w:pPr>
        <w:jc w:val="both"/>
      </w:pPr>
      <w:r w:rsidRPr="008322DD">
        <w:t>Chemical space visualization provides insight into how generative models explore molecular diversity relative to known ligands. Three datasets were analyzed: the ChEMBL2034 reference set, molecules generated by DrugEx_GT_epsilon_0.6, and those produced by GB_GA_mut_r_0.5. Two complementary representations were used:</w:t>
      </w:r>
      <w:r>
        <w:t xml:space="preserve"> </w:t>
      </w:r>
      <w:r w:rsidRPr="008322DD">
        <w:t>Morgan fingerprints (radius 2, 2048 bits) for structural similarity.</w:t>
      </w:r>
      <w:r>
        <w:t xml:space="preserve"> </w:t>
      </w:r>
      <w:r w:rsidRPr="008322DD">
        <w:t>Physicochemical descriptors (</w:t>
      </w:r>
      <w:proofErr w:type="spellStart"/>
      <w:r w:rsidRPr="008322DD">
        <w:t>MolWt</w:t>
      </w:r>
      <w:proofErr w:type="spellEnd"/>
      <w:r w:rsidRPr="008322DD">
        <w:t>, </w:t>
      </w:r>
      <w:proofErr w:type="spellStart"/>
      <w:r w:rsidRPr="008322DD">
        <w:t>LogP</w:t>
      </w:r>
      <w:proofErr w:type="spellEnd"/>
      <w:r w:rsidRPr="008322DD">
        <w:t>, TPSA, HBD, HBA, </w:t>
      </w:r>
      <w:proofErr w:type="spellStart"/>
      <w:r w:rsidRPr="008322DD">
        <w:t>RotB</w:t>
      </w:r>
      <w:proofErr w:type="spellEnd"/>
      <w:r w:rsidRPr="008322DD">
        <w:t>) for property</w:t>
      </w:r>
      <w:r w:rsidRPr="008322DD">
        <w:noBreakHyphen/>
        <w:t>based similarity. Dimensionality reduction was performed using PCA and t</w:t>
      </w:r>
      <w:r w:rsidRPr="008322DD">
        <w:noBreakHyphen/>
        <w:t>SNE to visualize the datasets in two dimensions.</w:t>
      </w:r>
    </w:p>
    <w:p w14:paraId="50C6CBBC" w14:textId="050679D3" w:rsidR="008322DD" w:rsidRPr="00300BCF" w:rsidRDefault="00300BCF" w:rsidP="008322DD">
      <w:pPr>
        <w:jc w:val="both"/>
        <w:rPr>
          <w:b/>
          <w:bCs/>
        </w:rPr>
      </w:pPr>
      <w:r w:rsidRPr="00300BCF">
        <w:rPr>
          <w:b/>
          <w:bCs/>
        </w:rPr>
        <w:t xml:space="preserve">Discussion &amp; </w:t>
      </w:r>
      <w:r w:rsidR="008322DD" w:rsidRPr="00300BCF">
        <w:rPr>
          <w:b/>
          <w:bCs/>
        </w:rPr>
        <w:t>Results</w:t>
      </w:r>
    </w:p>
    <w:p w14:paraId="5BF95CF8" w14:textId="061AA1AE" w:rsidR="00455829" w:rsidRDefault="008322DD" w:rsidP="00455829">
      <w:pPr>
        <w:keepNext/>
        <w:jc w:val="both"/>
      </w:pPr>
      <w:r>
        <w:rPr>
          <w:noProof/>
        </w:rPr>
        <w:drawing>
          <wp:inline distT="0" distB="0" distL="0" distR="0" wp14:anchorId="2AC06BB0" wp14:editId="07A62BC3">
            <wp:extent cx="2768082" cy="218754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1" t="11471" r="43979" b="39637"/>
                    <a:stretch/>
                  </pic:blipFill>
                  <pic:spPr bwMode="auto">
                    <a:xfrm>
                      <a:off x="0" y="0"/>
                      <a:ext cx="2816079" cy="2225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0BCF">
        <w:rPr>
          <w:noProof/>
        </w:rPr>
        <w:t xml:space="preserve">                     </w:t>
      </w:r>
      <w:r w:rsidR="00455829">
        <w:rPr>
          <w:noProof/>
        </w:rPr>
        <w:drawing>
          <wp:inline distT="0" distB="0" distL="0" distR="0" wp14:anchorId="4FA1868D" wp14:editId="43F887ED">
            <wp:extent cx="2637533" cy="20029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5" t="21017" r="43232" b="31497"/>
                    <a:stretch/>
                  </pic:blipFill>
                  <pic:spPr bwMode="auto">
                    <a:xfrm>
                      <a:off x="0" y="0"/>
                      <a:ext cx="2676162" cy="2032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E8B9C" w14:textId="33D41CE7" w:rsidR="00455829" w:rsidRPr="00455829" w:rsidRDefault="00455829" w:rsidP="00455829">
      <w:pPr>
        <w:pStyle w:val="Caption"/>
        <w:jc w:val="both"/>
        <w:rPr>
          <w:sz w:val="14"/>
          <w:szCs w:val="14"/>
        </w:rPr>
      </w:pPr>
      <w:r w:rsidRPr="00455829">
        <w:rPr>
          <w:sz w:val="14"/>
          <w:szCs w:val="14"/>
        </w:rPr>
        <w:t xml:space="preserve">Figure </w:t>
      </w:r>
      <w:r>
        <w:rPr>
          <w:sz w:val="14"/>
          <w:szCs w:val="14"/>
        </w:rPr>
        <w:t>1a</w:t>
      </w:r>
      <w:r w:rsidRPr="00455829">
        <w:rPr>
          <w:sz w:val="14"/>
          <w:szCs w:val="14"/>
        </w:rPr>
        <w:t>. Morgan Fingerprint PCA</w:t>
      </w:r>
      <w:r>
        <w:rPr>
          <w:sz w:val="14"/>
          <w:szCs w:val="14"/>
        </w:rPr>
        <w:t xml:space="preserve">                                                              </w:t>
      </w:r>
      <w:r w:rsidR="00300BCF">
        <w:rPr>
          <w:sz w:val="14"/>
          <w:szCs w:val="14"/>
        </w:rPr>
        <w:t xml:space="preserve">                                  </w:t>
      </w:r>
      <w:r w:rsidRPr="00455829">
        <w:rPr>
          <w:sz w:val="14"/>
          <w:szCs w:val="14"/>
        </w:rPr>
        <w:t xml:space="preserve">Figure </w:t>
      </w:r>
      <w:r w:rsidRPr="00455829">
        <w:rPr>
          <w:sz w:val="14"/>
          <w:szCs w:val="14"/>
        </w:rPr>
        <w:fldChar w:fldCharType="begin"/>
      </w:r>
      <w:r w:rsidRPr="00455829">
        <w:rPr>
          <w:sz w:val="14"/>
          <w:szCs w:val="14"/>
        </w:rPr>
        <w:instrText xml:space="preserve"> SEQ Figure \* ARABIC </w:instrText>
      </w:r>
      <w:r w:rsidRPr="00455829">
        <w:rPr>
          <w:sz w:val="14"/>
          <w:szCs w:val="14"/>
        </w:rPr>
        <w:fldChar w:fldCharType="separate"/>
      </w:r>
      <w:r w:rsidR="00D77189">
        <w:rPr>
          <w:noProof/>
          <w:sz w:val="14"/>
          <w:szCs w:val="14"/>
        </w:rPr>
        <w:t>1</w:t>
      </w:r>
      <w:r w:rsidRPr="00455829">
        <w:rPr>
          <w:sz w:val="14"/>
          <w:szCs w:val="14"/>
        </w:rPr>
        <w:fldChar w:fldCharType="end"/>
      </w:r>
      <w:r w:rsidRPr="00455829">
        <w:rPr>
          <w:sz w:val="14"/>
          <w:szCs w:val="14"/>
        </w:rPr>
        <w:t>b. Descriptors PCA</w:t>
      </w:r>
    </w:p>
    <w:p w14:paraId="405D66AC" w14:textId="7D6B2A1B" w:rsidR="008322DD" w:rsidRPr="008322DD" w:rsidRDefault="00455829" w:rsidP="001F0436">
      <w:pPr>
        <w:jc w:val="both"/>
        <w:rPr>
          <w:noProof/>
        </w:rPr>
      </w:pPr>
      <w:r>
        <w:rPr>
          <w:noProof/>
        </w:rPr>
        <w:t xml:space="preserve">                             </w:t>
      </w:r>
    </w:p>
    <w:p w14:paraId="417D19D4" w14:textId="77777777" w:rsidR="00D77189" w:rsidRDefault="001F0436" w:rsidP="00D77189">
      <w:pPr>
        <w:keepNext/>
        <w:rPr>
          <w:noProof/>
        </w:rPr>
      </w:pPr>
      <w:r>
        <w:rPr>
          <w:noProof/>
        </w:rPr>
        <w:drawing>
          <wp:inline distT="0" distB="0" distL="0" distR="0" wp14:anchorId="5F3D7C06" wp14:editId="6772BF02">
            <wp:extent cx="2718318" cy="2088561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4" t="15634" r="42311" b="35596"/>
                    <a:stretch/>
                  </pic:blipFill>
                  <pic:spPr bwMode="auto">
                    <a:xfrm>
                      <a:off x="0" y="0"/>
                      <a:ext cx="2738193" cy="2103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7189">
        <w:rPr>
          <w:noProof/>
        </w:rPr>
        <w:t xml:space="preserve">                     </w:t>
      </w:r>
      <w:r w:rsidR="00D77189">
        <w:rPr>
          <w:noProof/>
        </w:rPr>
        <w:drawing>
          <wp:inline distT="0" distB="0" distL="0" distR="0" wp14:anchorId="63751DB9" wp14:editId="5DA1143A">
            <wp:extent cx="2519265" cy="198113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45" t="15621" r="42541" b="33751"/>
                    <a:stretch/>
                  </pic:blipFill>
                  <pic:spPr bwMode="auto">
                    <a:xfrm>
                      <a:off x="0" y="0"/>
                      <a:ext cx="2539067" cy="1996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D7FCF" w14:textId="786676EE" w:rsidR="001F0436" w:rsidRPr="008322DD" w:rsidRDefault="00D77189" w:rsidP="00D77189">
      <w:pPr>
        <w:keepNext/>
      </w:pPr>
      <w:r w:rsidRPr="00D77189">
        <w:rPr>
          <w:sz w:val="12"/>
          <w:szCs w:val="12"/>
        </w:rPr>
        <w:t xml:space="preserve">Figure </w:t>
      </w:r>
      <w:r>
        <w:rPr>
          <w:sz w:val="12"/>
          <w:szCs w:val="12"/>
        </w:rPr>
        <w:t>2</w:t>
      </w:r>
      <w:r w:rsidRPr="00D77189">
        <w:rPr>
          <w:sz w:val="12"/>
          <w:szCs w:val="12"/>
        </w:rPr>
        <w:t>a.</w:t>
      </w:r>
      <w:r>
        <w:rPr>
          <w:sz w:val="12"/>
          <w:szCs w:val="12"/>
        </w:rPr>
        <w:t xml:space="preserve"> </w:t>
      </w:r>
      <w:r w:rsidRPr="00D77189">
        <w:rPr>
          <w:sz w:val="12"/>
          <w:szCs w:val="12"/>
        </w:rPr>
        <w:t>Morgan Fingerprint t-SNE</w:t>
      </w:r>
      <w:r>
        <w:rPr>
          <w:sz w:val="12"/>
          <w:szCs w:val="12"/>
        </w:rPr>
        <w:t xml:space="preserve">                                                                                                         </w:t>
      </w:r>
      <w:r w:rsidR="00300BCF">
        <w:rPr>
          <w:sz w:val="12"/>
          <w:szCs w:val="12"/>
        </w:rPr>
        <w:t xml:space="preserve">     </w:t>
      </w:r>
      <w:r>
        <w:rPr>
          <w:sz w:val="12"/>
          <w:szCs w:val="12"/>
        </w:rPr>
        <w:t xml:space="preserve">  </w:t>
      </w:r>
      <w:r w:rsidRPr="00D77189">
        <w:rPr>
          <w:sz w:val="12"/>
          <w:szCs w:val="12"/>
        </w:rPr>
        <w:t xml:space="preserve">Figure </w:t>
      </w:r>
      <w:r>
        <w:rPr>
          <w:sz w:val="12"/>
          <w:szCs w:val="12"/>
        </w:rPr>
        <w:t>2b</w:t>
      </w:r>
      <w:r w:rsidRPr="00D77189">
        <w:rPr>
          <w:sz w:val="12"/>
          <w:szCs w:val="12"/>
        </w:rPr>
        <w:t>.</w:t>
      </w:r>
      <w:r>
        <w:rPr>
          <w:sz w:val="12"/>
          <w:szCs w:val="12"/>
        </w:rPr>
        <w:t xml:space="preserve"> </w:t>
      </w:r>
      <w:proofErr w:type="gramStart"/>
      <w:r>
        <w:rPr>
          <w:sz w:val="12"/>
          <w:szCs w:val="12"/>
        </w:rPr>
        <w:t xml:space="preserve">Descriptors </w:t>
      </w:r>
      <w:r w:rsidRPr="00D77189">
        <w:rPr>
          <w:sz w:val="12"/>
          <w:szCs w:val="12"/>
        </w:rPr>
        <w:t xml:space="preserve"> t</w:t>
      </w:r>
      <w:proofErr w:type="gramEnd"/>
      <w:r w:rsidRPr="00D77189">
        <w:rPr>
          <w:sz w:val="12"/>
          <w:szCs w:val="12"/>
        </w:rPr>
        <w:t>-SNE</w:t>
      </w:r>
      <w:r>
        <w:rPr>
          <w:noProof/>
        </w:rPr>
        <w:t xml:space="preserve">                  </w:t>
      </w:r>
    </w:p>
    <w:p w14:paraId="59100A19" w14:textId="77777777" w:rsidR="00300BCF" w:rsidRDefault="00300BCF" w:rsidP="00300BCF">
      <w:pPr>
        <w:jc w:val="both"/>
      </w:pPr>
    </w:p>
    <w:p w14:paraId="3C6ED015" w14:textId="77777777" w:rsidR="00300BCF" w:rsidRDefault="00300BCF" w:rsidP="00300BCF">
      <w:pPr>
        <w:jc w:val="both"/>
      </w:pPr>
    </w:p>
    <w:p w14:paraId="6205FCD3" w14:textId="30836963" w:rsidR="00300BCF" w:rsidRPr="00300BCF" w:rsidRDefault="00300BCF" w:rsidP="00300BCF">
      <w:pPr>
        <w:jc w:val="both"/>
        <w:rPr>
          <w:b/>
          <w:bCs/>
        </w:rPr>
      </w:pPr>
      <w:r w:rsidRPr="00300BCF">
        <w:rPr>
          <w:b/>
          <w:bCs/>
        </w:rPr>
        <w:lastRenderedPageBreak/>
        <w:t>1. Which datasets overlap strongly, and which are clearly separated?</w:t>
      </w:r>
    </w:p>
    <w:p w14:paraId="1AC11CB2" w14:textId="4453A981" w:rsidR="00300BCF" w:rsidRPr="00300BCF" w:rsidRDefault="00300BCF" w:rsidP="00300BCF">
      <w:pPr>
        <w:jc w:val="both"/>
      </w:pPr>
      <w:r w:rsidRPr="00300BCF">
        <w:t>Across both PCA and t</w:t>
      </w:r>
      <w:r w:rsidRPr="00300BCF">
        <w:noBreakHyphen/>
        <w:t>SNE plots, the GB_GA_mut_r_0.5 (red) and DrugEx_GT_epsilon_0.6 (blue) datasets overlap extensively with each other and with the reference (gray) set. The overlap is strongest in the fingerprint</w:t>
      </w:r>
      <w:r w:rsidRPr="00300BCF">
        <w:noBreakHyphen/>
        <w:t xml:space="preserve">based plots, where all three datasets occupy a shared central region. </w:t>
      </w:r>
      <w:r>
        <w:t xml:space="preserve">A clearer separation is evident in the descriptor-based t-SNE, where </w:t>
      </w:r>
      <w:proofErr w:type="spellStart"/>
      <w:r>
        <w:t>DrugEx</w:t>
      </w:r>
      <w:proofErr w:type="spellEnd"/>
      <w:r>
        <w:t xml:space="preserve"> molecules extend further outward, indicating the </w:t>
      </w:r>
      <w:r w:rsidRPr="00300BCF">
        <w:t>exploration of new physicochemical regions.</w:t>
      </w:r>
    </w:p>
    <w:p w14:paraId="7D769DAB" w14:textId="77777777" w:rsidR="00300BCF" w:rsidRPr="00300BCF" w:rsidRDefault="00300BCF" w:rsidP="00300BCF">
      <w:pPr>
        <w:jc w:val="both"/>
        <w:rPr>
          <w:b/>
          <w:bCs/>
        </w:rPr>
      </w:pPr>
      <w:r w:rsidRPr="00300BCF">
        <w:rPr>
          <w:b/>
          <w:bCs/>
        </w:rPr>
        <w:t>2. Do the generated sets stay close to reference chemistry, or do they explore a different region?</w:t>
      </w:r>
    </w:p>
    <w:p w14:paraId="4A8BB47D" w14:textId="28E949CC" w:rsidR="00300BCF" w:rsidRPr="00300BCF" w:rsidRDefault="00300BCF" w:rsidP="00300BCF">
      <w:pPr>
        <w:jc w:val="both"/>
      </w:pPr>
      <w:r w:rsidRPr="00300BCF">
        <w:t>Both generated sets remain anchored near the reference chemistry, confirming that they learned glucocorticoid</w:t>
      </w:r>
      <w:r w:rsidRPr="00300BCF">
        <w:noBreakHyphen/>
        <w:t>relevant features. However, DrugEx_GT_epsilon_0.6 explores a broader structural and physicochemical space</w:t>
      </w:r>
      <w:r>
        <w:t>,</w:t>
      </w:r>
      <w:r w:rsidRPr="00300BCF">
        <w:t xml:space="preserve"> </w:t>
      </w:r>
      <w:r>
        <w:t xml:space="preserve">which is </w:t>
      </w:r>
      <w:r w:rsidRPr="00300BCF">
        <w:t>visible as peripheral clusters and wider dispersion</w:t>
      </w:r>
      <w:r>
        <w:t>,</w:t>
      </w:r>
      <w:r w:rsidRPr="00300BCF">
        <w:t xml:space="preserve"> while GB_GA_mut_r_0.5 stays tightly clustered around the reference, suggesting conservative optimization rather than exploration.</w:t>
      </w:r>
    </w:p>
    <w:p w14:paraId="6C97F38D" w14:textId="77777777" w:rsidR="00300BCF" w:rsidRPr="00300BCF" w:rsidRDefault="00300BCF" w:rsidP="00300BCF">
      <w:pPr>
        <w:jc w:val="both"/>
      </w:pPr>
      <w:r w:rsidRPr="00300BCF">
        <w:rPr>
          <w:b/>
          <w:bCs/>
        </w:rPr>
        <w:t>3</w:t>
      </w:r>
      <w:r w:rsidRPr="00300BCF">
        <w:t xml:space="preserve">. </w:t>
      </w:r>
      <w:r w:rsidRPr="00300BCF">
        <w:rPr>
          <w:b/>
          <w:bCs/>
        </w:rPr>
        <w:t>Which method, PCA or t</w:t>
      </w:r>
      <w:r w:rsidRPr="00300BCF">
        <w:rPr>
          <w:b/>
          <w:bCs/>
        </w:rPr>
        <w:noBreakHyphen/>
        <w:t>SNE, makes the cluster structure easier to see?</w:t>
      </w:r>
    </w:p>
    <w:p w14:paraId="1C6767C1" w14:textId="77777777" w:rsidR="00300BCF" w:rsidRPr="00300BCF" w:rsidRDefault="00300BCF" w:rsidP="00300BCF">
      <w:pPr>
        <w:jc w:val="both"/>
      </w:pPr>
      <w:r w:rsidRPr="00300BCF">
        <w:t>The t</w:t>
      </w:r>
      <w:r w:rsidRPr="00300BCF">
        <w:noBreakHyphen/>
        <w:t>SNE plots make cluster structure and density differences easier to interpret. t</w:t>
      </w:r>
      <w:r w:rsidRPr="00300BCF">
        <w:noBreakHyphen/>
        <w:t>SNE emphasizes local relationships, revealing compact clusters and peripheral expansions that PCA compresses into overlapping ellipses. PCA is useful for global variance trends, but t</w:t>
      </w:r>
      <w:r w:rsidRPr="00300BCF">
        <w:noBreakHyphen/>
        <w:t>SNE provides clearer visual separation between generated and reference regions.</w:t>
      </w:r>
    </w:p>
    <w:p w14:paraId="46041095" w14:textId="77777777" w:rsidR="00300BCF" w:rsidRPr="00300BCF" w:rsidRDefault="00300BCF" w:rsidP="00300BCF">
      <w:pPr>
        <w:jc w:val="both"/>
        <w:rPr>
          <w:b/>
          <w:bCs/>
        </w:rPr>
      </w:pPr>
      <w:r w:rsidRPr="00300BCF">
        <w:rPr>
          <w:b/>
          <w:bCs/>
        </w:rPr>
        <w:t>4. Do you observe outliers, and if so, what might explain them?</w:t>
      </w:r>
    </w:p>
    <w:p w14:paraId="24FD0A2F" w14:textId="7E83CF34" w:rsidR="00300BCF" w:rsidRPr="00300BCF" w:rsidRDefault="00300BCF" w:rsidP="00300BCF">
      <w:pPr>
        <w:jc w:val="both"/>
      </w:pPr>
      <w:r w:rsidRPr="00300BCF">
        <w:t>Yes</w:t>
      </w:r>
      <w:r>
        <w:t>.</w:t>
      </w:r>
      <w:r w:rsidRPr="00300BCF">
        <w:t xml:space="preserve"> </w:t>
      </w:r>
      <w:r>
        <w:t>A</w:t>
      </w:r>
      <w:r w:rsidRPr="00300BCF">
        <w:t xml:space="preserve"> few gray reference points appear as outliers in the descriptor</w:t>
      </w:r>
      <w:r w:rsidRPr="00300BCF">
        <w:noBreakHyphen/>
        <w:t>based PCA, far from the main cluster. These likely correspond to atypical glucocorticoid ligands with extreme molecular weights, polar surface areas, or unusual hydrogen</w:t>
      </w:r>
      <w:r w:rsidRPr="00300BCF">
        <w:noBreakHyphen/>
        <w:t>bonding profiles.</w:t>
      </w:r>
    </w:p>
    <w:p w14:paraId="1A7C6FB0" w14:textId="77777777" w:rsidR="00300BCF" w:rsidRPr="00300BCF" w:rsidRDefault="00300BCF" w:rsidP="00300BCF">
      <w:pPr>
        <w:jc w:val="both"/>
      </w:pPr>
      <w:r w:rsidRPr="00300BCF">
        <w:rPr>
          <w:b/>
          <w:bCs/>
        </w:rPr>
        <w:t>5. How does the interpretation change when using descriptors instead of fingerprints?</w:t>
      </w:r>
    </w:p>
    <w:p w14:paraId="5094D101" w14:textId="3FFCB0C1" w:rsidR="00300BCF" w:rsidRPr="00300BCF" w:rsidRDefault="00300BCF" w:rsidP="00D77189">
      <w:pPr>
        <w:jc w:val="both"/>
      </w:pPr>
      <w:r w:rsidRPr="00300BCF">
        <w:t>Using descriptors shifts the focus from structural similarity to physicochemical property similarity. Descriptor</w:t>
      </w:r>
      <w:r w:rsidRPr="00300BCF">
        <w:noBreakHyphen/>
        <w:t xml:space="preserve">based plots show tighter clustering and less dispersion, indicating that most molecules </w:t>
      </w:r>
      <w:r w:rsidR="00983DC7">
        <w:t>(</w:t>
      </w:r>
      <w:r w:rsidRPr="00300BCF">
        <w:t>even structurally diverse ones</w:t>
      </w:r>
      <w:r w:rsidR="00983DC7">
        <w:t>)</w:t>
      </w:r>
      <w:r w:rsidRPr="00300BCF">
        <w:t xml:space="preserve"> share comparable drug</w:t>
      </w:r>
      <w:r w:rsidRPr="00300BCF">
        <w:noBreakHyphen/>
        <w:t>like properties. Fingerprint</w:t>
      </w:r>
      <w:r w:rsidRPr="00300BCF">
        <w:noBreakHyphen/>
        <w:t>based plots, in contrast, reveal broader structural diversity and scaffold exploration. Thus, fingerprints highlight novel structural motifs, while descriptors emphasize property conservation across datasets.</w:t>
      </w:r>
    </w:p>
    <w:sectPr w:rsidR="00300BCF" w:rsidRPr="00300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72299"/>
    <w:multiLevelType w:val="multilevel"/>
    <w:tmpl w:val="01C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B7E96"/>
    <w:multiLevelType w:val="multilevel"/>
    <w:tmpl w:val="10C0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97E7F"/>
    <w:multiLevelType w:val="multilevel"/>
    <w:tmpl w:val="2F1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F2378"/>
    <w:multiLevelType w:val="multilevel"/>
    <w:tmpl w:val="BFB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96426"/>
    <w:multiLevelType w:val="multilevel"/>
    <w:tmpl w:val="C3A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15A40"/>
    <w:multiLevelType w:val="multilevel"/>
    <w:tmpl w:val="049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71E64"/>
    <w:multiLevelType w:val="multilevel"/>
    <w:tmpl w:val="504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A3F0B"/>
    <w:multiLevelType w:val="multilevel"/>
    <w:tmpl w:val="7372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DD"/>
    <w:rsid w:val="001F0436"/>
    <w:rsid w:val="00300BCF"/>
    <w:rsid w:val="00455829"/>
    <w:rsid w:val="008322DD"/>
    <w:rsid w:val="00983DC7"/>
    <w:rsid w:val="00A05A80"/>
    <w:rsid w:val="00D77189"/>
    <w:rsid w:val="00E5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29FB"/>
  <w15:chartTrackingRefBased/>
  <w15:docId w15:val="{50519ED1-C62C-4E66-AF02-B8C20E56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5582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7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Bassey Andong</dc:creator>
  <cp:keywords/>
  <dc:description/>
  <cp:lastModifiedBy>Bassey Andong</cp:lastModifiedBy>
  <cp:revision>2</cp:revision>
  <dcterms:created xsi:type="dcterms:W3CDTF">2026-08-12T22:17:00Z</dcterms:created>
  <dcterms:modified xsi:type="dcterms:W3CDTF">2026-08-13T00:35:00Z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a898eab3-c35b-4876-9a17-ab22fac18df5</vt:lpwstr>
  </property>
</Properties>
</file>