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+65 82501776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bridging AI research and enterprise delivery. Leading Google Cloud's Data &amp; Analytics practice for Southeast Asia while driving innovations in LLM inference and multi-agent systems. Track record as "Player-Coach" - managing regional portfolios while architecting patented frameworks (UPIR, ARTEMIS, FTCS).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Head of Data &amp; Analytics, Southeast Asia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Built Google Cloud's Data Analytics practice across Southeast Asia. Dual role as Site Lead overseeing regional delivery and technical innovation lead on &lt;a href="https://cloud.google.com/consulting/innovation-and-transformation"&gt;delta&lt;/a&gt;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D&amp;A practice from 0 to 1 across 6 countries; 97% CSAT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Site Lead overseeing delivery governance across 7 PSO practices (Data Analytics, AI/ML, Infrastructure, Security, Enterprise Architecture, AppDev, Delivery Management)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agentic AI adoption across 7 practices and 6 JAPAC sub-regions with SDKs, agent catalog, and governance 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Spearheaded rescue operations for at-risk enterprise accounts, recovering strategic customers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Sales leadership on strategic pursuits; collaborate with Product Engineering on platform roadmap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Published 5 technical disclosures (UPIR, FTCS, ARTEMIS, ETLC, CatchMe) on AI/distributed systems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 AI and data platform development serving 11 markets and 1200+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Self-Service ML Platform reducing model development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(Teradata)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data lakes processing 1.2 PB/hour with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reducing false positives by 60%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Microsoft, UTU &amp; Others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Leadership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Windows Kernel development (Microsoft), payment systems (UTU Singapore), founded Truckaurbus B2B marketplace.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Speculative decoding, custom Triton kernels, KV-cache compression. 8.1x speedup, 88% peak bandwidth on A100.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 and deception in LLMs. 90-96% accuracy with steering vectors.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for automated distributed system generation. 274x speedup, 60% latency reduction.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Agentic AI for enterprise trust decisions. APLS pattern learning + cascade routing. 86% cost reduction, sub-50ms latency.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Spark LLM Eval - Distributed Evaluation Framework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Enterprise-scale LLM evaluation on Apache Spark. Statistical rigor with bootstrap intervals, multi-provider support (OpenAI, Anthropic, Gemini), Delta Lake integration.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Steering Vectors for Agent Behavior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Runtime control of LLM agent behaviors through activation steering. 65% uncertainty detection while maintaining 100% confidence on factual queries.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Context-First Data Processing for GenAI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Blockchain Privacy &amp; Consent Protocol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 / arXiv,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 xml:space="preserve">Enterprise Architecture, Digital Transformation, AI &amp; Data Strategy, C-Suite Advisory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AI: </w:t>
      </w:r>
      <w:r>
        <w:rPr>
          <w:sz w:val="22"/>
          <w:szCs w:val="22"/>
        </w:rPr>
        <w:t xml:space="preserve">Petabyte-Scale Platforms, Apache Spark/Kafka/Flink, Delta Lake, LLMs &amp; Multi-Agent Systems, RAG &amp; Vector Databases, PyTorch, Vertex AI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&amp; Engineering: </w:t>
      </w:r>
      <w:r>
        <w:rPr>
          <w:sz w:val="22"/>
          <w:szCs w:val="22"/>
        </w:rPr>
        <w:t xml:space="preserve">Google Cloud Platform, BigQuery, Python/SQL/Scala, Kubernetes, Distributed Systems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2025-12-25T20:49:31.591Z</dcterms:created>
  <dcterms:modified xsi:type="dcterms:W3CDTF">2025-12-25T20:49:31.591Z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