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Subhadip Mitra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Engineering Leader &amp; AI Systems Architect</w:t>
      </w:r>
    </w:p>
    <w:p>
      <w:pPr>
        <w:spacing w:after="40"/>
        <w:jc w:val="center"/>
      </w:pPr>
      <w:r>
        <w:rPr>
          <w:sz w:val="22"/>
          <w:szCs w:val="22"/>
        </w:rPr>
        <w:t xml:space="preserve">Singapore | contact@subhadipmitra.com</w:t>
      </w:r>
    </w:p>
    <w:p>
      <w:pPr>
        <w:spacing w:after="200"/>
        <w:jc w:val="center"/>
      </w:pPr>
      <w:r>
        <w:rPr>
          <w:sz w:val="22"/>
          <w:szCs w:val="22"/>
        </w:rPr>
        <w:t xml:space="preserve">LinkedIn: linkedin.com/in/subhadip-mitra | GitHub: github.com/bassrehab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Senior Engineering Leader with 15+ years bridging AI research and enterprise delivery. Leading Google Cloud's Data &amp; Analytics practice for Southeast Asia while driving innovations in LLM inference and multi-agent systems. Track record as "Player-Coach" - managing regional portfolios while architecting patented frameworks (UPIR, ARTEMIS, FTCS).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Professional Experience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Google Cloud - Professional Services Organization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Head of Data &amp; Analytics, Southeast Asia | Site Lead, PSO Southeast Asia</w:t>
      </w:r>
      <w:r>
        <w:t xml:space="preserve">  </w:t>
      </w:r>
      <w:r>
        <w:rPr>
          <w:i/>
          <w:iCs/>
          <w:sz w:val="22"/>
          <w:szCs w:val="22"/>
        </w:rPr>
        <w:t xml:space="preserve">January 2021 - Present</w:t>
      </w:r>
    </w:p>
    <w:p>
      <w:pPr>
        <w:spacing w:after="80"/>
      </w:pPr>
      <w:r>
        <w:rPr>
          <w:sz w:val="22"/>
          <w:szCs w:val="22"/>
        </w:rPr>
        <w:t xml:space="preserve">Built Google Cloud's Data Analytics practice across Southeast Asia. Dual role as Site Lead overseeing regional delivery and technical innovation lead on &lt;a href="https://cloud.google.com/consulting/innovation-and-transformation"&gt;delta&lt;/a&gt;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D&amp;A practice from 0 to 1 across 6 countries; direct $XXM+ portfolio with 97% CSAT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Site Lead overseeing delivery governance across all 7 PSO practices in Southeast Asia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Pioneered agentic AI adoption across 7 practices and 6 JAPAC sub-regions with SDKs, agent catalog, and governance frameworks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Spearheaded rescue operations for at-risk enterprise accounts, recovering strategic customers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Partner with Sales leadership on strategic pursuits; collaborate with Product Engineering on platform roadmap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Published 5 technical disclosures (UPIR, FTCS, ARTEMIS, ETLC, CatchMe) on AI/distributed systems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Standard Chartered Bank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Engineer - Data &amp; Analytics Transformation</w:t>
      </w:r>
      <w:r>
        <w:t xml:space="preserve">  </w:t>
      </w:r>
      <w:r>
        <w:rPr>
          <w:i/>
          <w:iCs/>
          <w:sz w:val="22"/>
          <w:szCs w:val="22"/>
        </w:rPr>
        <w:t xml:space="preserve">January 2019 - January 2021</w:t>
      </w:r>
    </w:p>
    <w:p>
      <w:pPr>
        <w:spacing w:after="80"/>
      </w:pPr>
      <w:r>
        <w:rPr>
          <w:sz w:val="22"/>
          <w:szCs w:val="22"/>
        </w:rPr>
        <w:t xml:space="preserve">Led enterprise AI and data platform development serving 11 markets and 1200+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Delivered Self-Service ML Platform reducing model development from 6 months to 1 week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Designed credit risk AI models improving accuracy by 15% with alternative data 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Modernized MarTech infrastructure driving 30% increase in customer acquisition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Think Big Analytics (Teradata)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Principal Data Engineer / Solution Architect</w:t>
      </w:r>
      <w:r>
        <w:t xml:space="preserve">  </w:t>
      </w:r>
      <w:r>
        <w:rPr>
          <w:i/>
          <w:iCs/>
          <w:sz w:val="22"/>
          <w:szCs w:val="22"/>
        </w:rPr>
        <w:t xml:space="preserve">January 2017 - January 2019</w:t>
      </w:r>
    </w:p>
    <w:p>
      <w:pPr>
        <w:spacing w:after="80"/>
      </w:pPr>
      <w:r>
        <w:rPr>
          <w:sz w:val="22"/>
          <w:szCs w:val="22"/>
        </w:rPr>
        <w:t xml:space="preserve">Architected enterprise data solutions for Fortune 500 clients across APAC.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Engineered 5 data lakes processing 1.2 PB/hour with 20% optimization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Built real-time fraud detection reducing false positives by 60%</w:t>
      </w:r>
    </w:p>
    <w:p>
      <w:pPr>
        <w:spacing w:before="160" w:after="40"/>
      </w:pPr>
      <w:r>
        <w:rPr>
          <w:b/>
          <w:bCs/>
          <w:sz w:val="24"/>
          <w:szCs w:val="24"/>
        </w:rPr>
        <w:t xml:space="preserve">Various Companies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Software Engineering &amp; Technical Consulting</w:t>
      </w:r>
      <w:r>
        <w:t xml:space="preserve">  </w:t>
      </w:r>
      <w:r>
        <w:rPr>
          <w:i/>
          <w:iCs/>
          <w:sz w:val="22"/>
          <w:szCs w:val="22"/>
        </w:rPr>
        <w:t xml:space="preserve">January 2010 - January 2017</w:t>
      </w:r>
    </w:p>
    <w:p>
      <w:pPr>
        <w:spacing w:after="80"/>
      </w:pPr>
      <w:r>
        <w:rPr>
          <w:sz w:val="22"/>
          <w:szCs w:val="22"/>
        </w:rPr>
        <w:t xml:space="preserve">Progressive roles in software development, systems integration, and consulting in financial services and algorithmic trading.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Research &amp; Open Source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LLM Inference Efficiency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Speculative decoding, custom Triton kernels, KV-cache compression. 8.1x speedup, 88% peak bandwidth on A100.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AI Metacognition Toolkit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Activation-level detection of sandbagging and deception in LLMs. 90-96% accuracy with steering vectors.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UPIR - Distributed Systems Synthesis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Neuro-symbolic framework for automated distributed system generation. 274x speedup, 60% latency reduction.</w:t>
      </w:r>
    </w:p>
    <w:p>
      <w:pPr>
        <w:spacing w:before="120" w:after="40"/>
      </w:pPr>
      <w:r>
        <w:rPr>
          <w:b/>
          <w:bCs/>
          <w:sz w:val="22"/>
          <w:szCs w:val="22"/>
        </w:rPr>
        <w:t xml:space="preserve">CatchMe - Intelligent Trust Engine</w:t>
      </w:r>
      <w:r>
        <w:rPr>
          <w:i/>
          <w:iCs/>
          <w:sz w:val="22"/>
          <w:szCs w:val="22"/>
        </w:rPr>
        <w:t xml:space="preserve"> (2025)</w:t>
      </w:r>
    </w:p>
    <w:p>
      <w:pPr>
        <w:spacing w:after="80"/>
      </w:pPr>
      <w:r>
        <w:rPr>
          <w:sz w:val="22"/>
          <w:szCs w:val="22"/>
        </w:rPr>
        <w:t xml:space="preserve">Agentic AI for enterprise trust decisions. APLS pattern learning + cascade routing. 86% cost reduction, sub-50ms latency. JAPAC Hackathon Winner.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Publications &amp; Technical Disclosures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UPIR: Automated Synthesis and Verification of Distributed Systems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November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ETLC: Context-First Data Processing for GenAI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 Cloud,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Field-Theoretic Context System (FTCS)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May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ARTEMIS - Adaptive Multi-agent Debate Framework</w:t>
      </w:r>
    </w:p>
    <w:p>
      <w:pPr>
        <w:spacing w:after="60"/>
      </w:pPr>
      <w:r>
        <w:rPr>
          <w:i/>
          <w:iCs/>
          <w:sz w:val="20"/>
          <w:szCs w:val="20"/>
        </w:rPr>
        <w:t xml:space="preserve">Google, Technical Disclosure Commons, January 2025</w:t>
      </w:r>
    </w:p>
    <w:p>
      <w:pPr>
        <w:spacing w:before="80" w:after="20"/>
      </w:pPr>
      <w:r>
        <w:rPr>
          <w:b/>
          <w:bCs/>
          <w:sz w:val="22"/>
          <w:szCs w:val="22"/>
        </w:rPr>
        <w:t xml:space="preserve">OConsent: Blockchain Privacy &amp; Consent Protocol</w:t>
      </w:r>
    </w:p>
    <w:p>
      <w:pPr>
        <w:spacing w:after="60"/>
      </w:pPr>
      <w:r>
        <w:rPr>
          <w:i/>
          <w:iCs/>
          <w:sz w:val="20"/>
          <w:szCs w:val="20"/>
        </w:rPr>
        <w:t xml:space="preserve">BITS Pilani / arXiv, December 2021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Education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MBA, Business Analytics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(2021 - 2023)</w:t>
      </w:r>
    </w:p>
    <w:p>
      <w:pPr>
        <w:spacing w:before="80" w:after="40"/>
      </w:pPr>
      <w:r>
        <w:rPr>
          <w:b/>
          <w:bCs/>
          <w:sz w:val="22"/>
          <w:szCs w:val="22"/>
        </w:rPr>
        <w:t xml:space="preserve">MTech, Software Systems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 xml:space="preserve">BITS Pilani</w:t>
      </w:r>
      <w:r>
        <w:rPr>
          <w:i/>
          <w:iCs/>
          <w:sz w:val="22"/>
          <w:szCs w:val="22"/>
        </w:rPr>
        <w:t xml:space="preserve"> (2017 - 2020)</w:t>
      </w:r>
    </w:p>
    <w:p>
      <w:pPr>
        <w:pStyle w:val="Heading1"/>
        <w:pBdr>
          <w:bottom w:val="single" w:color="000000" w:sz="6"/>
        </w:pBdr>
        <w:spacing w:before="300" w:after="120"/>
      </w:pPr>
      <w:r>
        <w:rPr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Leadership: </w:t>
      </w:r>
      <w:r>
        <w:rPr>
          <w:sz w:val="22"/>
          <w:szCs w:val="22"/>
        </w:rPr>
        <w:t xml:space="preserve">Enterprise Architecture, Digital Transformation, AI &amp; Data Strategy, C-Suite Advisory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&amp; AI: </w:t>
      </w:r>
      <w:r>
        <w:rPr>
          <w:sz w:val="22"/>
          <w:szCs w:val="22"/>
        </w:rPr>
        <w:t xml:space="preserve">Petabyte-Scale Platforms, Apache Spark/Kafka/Flink, Delta Lake, LLMs &amp; Multi-Agent Systems, RAG &amp; Vector Databases, PyTorch, Vertex AI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Cloud &amp; Engineering: </w:t>
      </w:r>
      <w:r>
        <w:rPr>
          <w:sz w:val="22"/>
          <w:szCs w:val="22"/>
        </w:rPr>
        <w:t xml:space="preserve">Google Cloud Platform, BigQuery, Python/SQL/Scala, Kubernetes, Distributed Systems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2025-12-25T06:24:41.744Z</dcterms:created>
  <dcterms:modified xsi:type="dcterms:W3CDTF">2025-12-25T06:24:41.744Z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