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b/>
          <w:bCs/>
          <w:sz w:val="48"/>
          <w:szCs w:val="48"/>
        </w:rPr>
        <w:t xml:space="preserve">Subhadip Mitra</w:t>
      </w:r>
    </w:p>
    <w:p>
      <w:pPr>
        <w:spacing w:after="80"/>
        <w:jc w:val="center"/>
      </w:pPr>
      <w:r>
        <w:rPr>
          <w:i/>
          <w:iCs/>
          <w:sz w:val="24"/>
          <w:szCs w:val="24"/>
        </w:rPr>
        <w:t xml:space="preserve">Engineering Leader &amp; AI Systems Architect</w:t>
      </w:r>
    </w:p>
    <w:p>
      <w:pPr>
        <w:spacing w:after="40"/>
        <w:jc w:val="center"/>
      </w:pPr>
      <w:r>
        <w:rPr>
          <w:sz w:val="22"/>
          <w:szCs w:val="22"/>
        </w:rPr>
        <w:t xml:space="preserve">Singapore | contact@subhadipmitra.com</w:t>
      </w:r>
    </w:p>
    <w:p>
      <w:pPr>
        <w:spacing w:after="200"/>
        <w:jc w:val="center"/>
      </w:pPr>
      <w:r>
        <w:rPr>
          <w:sz w:val="22"/>
          <w:szCs w:val="22"/>
        </w:rPr>
        <w:t xml:space="preserve">LinkedIn: linkedin.com/in/subhadip-mitra | GitHub: github.com/bassrehab</w:t>
      </w:r>
    </w:p>
    <w:p>
      <w:pPr>
        <w:pStyle w:val="Heading1"/>
        <w:pBdr>
          <w:bottom w:val="single" w:color="000000" w:sz="6"/>
        </w:pBdr>
        <w:spacing w:before="300" w:after="120"/>
      </w:pPr>
      <w:r>
        <w:rPr>
          <w:b/>
          <w:bCs/>
          <w:color w:val="000000"/>
          <w:sz w:val="28"/>
          <w:szCs w:val="28"/>
        </w:rPr>
        <w:t xml:space="preserve">Professional Summary</w:t>
      </w:r>
    </w:p>
    <w:p>
      <w:pPr>
        <w:spacing w:after="120"/>
      </w:pPr>
      <w:r>
        <w:rPr>
          <w:sz w:val="22"/>
          <w:szCs w:val="22"/>
        </w:rPr>
        <w:t xml:space="preserve">Senior Engineering Leader with 15+ years of experience bridging fundamental AI research and enterprise-scale system delivery. Currently leading Google Cloud's Data &amp; Analytics practice for Southeast Asia while driving internal innovations on LLM inference efficiency and multi-agent systems.  Proven track record of operating as a "Player-Coach": managing regional engineering portfolios while simultaneously architecting and patenting novel frameworks (UPIR, ARTEMIS, FTCS, Speculative Decoding).</w:t>
      </w:r>
    </w:p>
    <w:p>
      <w:pPr>
        <w:pStyle w:val="Heading1"/>
        <w:pBdr>
          <w:bottom w:val="single" w:color="000000" w:sz="6"/>
        </w:pBdr>
        <w:spacing w:before="300" w:after="120"/>
      </w:pPr>
      <w:r>
        <w:rPr>
          <w:b/>
          <w:bCs/>
          <w:color w:val="000000"/>
          <w:sz w:val="28"/>
          <w:szCs w:val="28"/>
        </w:rPr>
        <w:t xml:space="preserve">Professional Experience</w:t>
      </w:r>
    </w:p>
    <w:p>
      <w:pPr>
        <w:spacing w:before="160" w:after="40"/>
      </w:pPr>
      <w:r>
        <w:rPr>
          <w:b/>
          <w:bCs/>
          <w:sz w:val="24"/>
          <w:szCs w:val="24"/>
        </w:rPr>
        <w:t xml:space="preserve">Google Cloud - Professional Services Organization</w:t>
      </w:r>
    </w:p>
    <w:p>
      <w:pPr>
        <w:spacing w:after="60"/>
      </w:pPr>
      <w:r>
        <w:rPr>
          <w:b/>
          <w:bCs/>
          <w:sz w:val="22"/>
          <w:szCs w:val="22"/>
        </w:rPr>
        <w:t xml:space="preserve">Head of Data &amp; Analytics, Southeast Asia | Site Lead, PSO Southeast Asia</w:t>
      </w:r>
      <w:r>
        <w:t xml:space="preserve">  </w:t>
      </w:r>
      <w:r>
        <w:rPr>
          <w:i/>
          <w:iCs/>
          <w:sz w:val="22"/>
          <w:szCs w:val="22"/>
        </w:rPr>
        <w:t xml:space="preserve">January 2021 - Present</w:t>
      </w:r>
    </w:p>
    <w:p>
      <w:pPr>
        <w:spacing w:after="80"/>
      </w:pPr>
      <w:r>
        <w:rPr>
          <w:sz w:val="22"/>
          <w:szCs w:val="22"/>
        </w:rPr>
        <w:t xml:space="preserve">Dual-track role combining technical innovation leadership with regional delivery management. Built Google Cloud's Data Analytics practice across Southeast Asia while serving as Site Lead overseeing cross-practice operations. Member of &lt;a href="https://cloud.google.com/consulting/innovation-and-transformation"&gt;delta&lt;/a&gt; - Google Cloud's innovation and transformation team architecting enterprise AI solutions at scale.</w:t>
      </w:r>
    </w:p>
    <w:p>
      <w:pPr>
        <w:spacing w:before="80" w:after="40"/>
      </w:pPr>
      <w:r>
        <w:rPr>
          <w:b/>
          <w:bCs/>
          <w:sz w:val="22"/>
          <w:szCs w:val="22"/>
        </w:rPr>
        <w:t xml:space="preserve">Strategic Leadership &amp; Delivery: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Built Data Analytics practice for Southeast Asia from 0 to 1, recruiting and developing engineering talent while establishing the region's premier capability serving strategic enterprise clients across 6 countries.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Serve as Site Lead overseeing delivery governance across all 7 PSO practices in Southeast Asia, owning utilization and CSAT metrics (97%) while driving strategic pursuits and contributing to 100% annual revenue target attainment.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Direct $XXM+ Data Analytics delivery portfolio across JAPAC while simultaneously overseeing $XXM+ cross-practice portfolio as regional Site Lead.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Led critical engagements for JAPAC strategic accounts including major financial services institutions, telcos and consumer electronics manufacturers, ensuring delivery excellence and client success.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Partner with Sales leadership on strategic pursuits and collaborate with Product Engineering to shape platform roadmap based on field insights and customer requirements.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Spearheaded cross-practice rescue operations for at-risk enterprise accounts with multi-million dollar project values, recovering strategic customers and converting potential platform exits into long-term partnerships.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Delivered first-of-kind solutions including GenAI-powered reconciliation framework for a major airline (now replicated across JAPAC), large-scale ML platform migrations (30K+ notebooks), and petabyte-scale data platform modernizations.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Partner with C-level stakeholders (CTOs, CDOs) to define data modernization and AI transformation roadmaps, translating technical capabilities into business outcomes.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Pioneered agentic AI adoption across 7 PSO practices and 6 JAPAC sub-regions, building SDKs, agent catalog, and standardized templates while designing reusable governance frameworks that accelerated innovation and reduced delivery costs.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Built agentic tool suites including architecture discovery (100M+ node graph modeling), automated data pipeline generation, and platform cleanup agents that recovered multi-million dollar at-risk engagements and secured significant long-term cloud commitments.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Built Data Strategy competency from 0, delivering 8-figure pursuit value across 14 strategic pitches in Asia Pacific while establishing critical data assets and new GTM offerings.</w:t>
      </w:r>
    </w:p>
    <w:p>
      <w:pPr>
        <w:spacing w:before="80" w:after="40"/>
      </w:pPr>
      <w:r>
        <w:rPr>
          <w:b/>
          <w:bCs/>
          <w:sz w:val="22"/>
          <w:szCs w:val="22"/>
        </w:rPr>
        <w:t xml:space="preserve">Technical Innovation &amp; Research (Official IP):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Research on speculative decoding, custom Triton kernels, and KV-cache compression strategies. Filed Google Technical Disclosure on hybrid compression systems for multi-tenant serving optimization.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Invented neuro-symbolic framework combining formal verification and reinforcement learning to automate distributed system generation - achieved 274x speedup in synthesis with 60% latency reduction.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Designed Field-Theoretic Context System modeling context as continuous fields to address long-horizon memory fragmentation in AI agents. Published as Google Technical Disclosure.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Authored whitepaper introducing Extract, Transform, Load, Contextualize framework adding semantic, relational, and behavioral context to data pipelines for RAG and agentic systems.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Created adaptive debate-driven decision framework for enterprise multi-agent systems. Published as Google Technical Disclosure.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Developed industry-agnostic agentic AI system for enterprise-scale trust decisions across Finance, Healthcare, Insurance, Cybersecurity, and Supply Chain. Features APLS (self-learning pattern synthesis) and five-level cascade routing achieving 86% cost reduction with sub-50ms latency. Won Google Cloud PSO Hackathon JAPAC Regionals, qualified for World Finals. Two pending Google Technical Disclosures.</w:t>
      </w:r>
    </w:p>
    <w:p>
      <w:pPr>
        <w:spacing w:before="160" w:after="40"/>
      </w:pPr>
      <w:r>
        <w:rPr>
          <w:b/>
          <w:bCs/>
          <w:sz w:val="24"/>
          <w:szCs w:val="24"/>
        </w:rPr>
        <w:t xml:space="preserve">Standard Chartered Bank</w:t>
      </w:r>
    </w:p>
    <w:p>
      <w:pPr>
        <w:spacing w:after="60"/>
      </w:pPr>
      <w:r>
        <w:rPr>
          <w:b/>
          <w:bCs/>
          <w:sz w:val="22"/>
          <w:szCs w:val="22"/>
        </w:rPr>
        <w:t xml:space="preserve">Principal Engineer - Data &amp; Analytics Transformation</w:t>
      </w:r>
      <w:r>
        <w:t xml:space="preserve">  </w:t>
      </w:r>
      <w:r>
        <w:rPr>
          <w:i/>
          <w:iCs/>
          <w:sz w:val="22"/>
          <w:szCs w:val="22"/>
        </w:rPr>
        <w:t xml:space="preserve">January 2019 - January 2021</w:t>
      </w:r>
    </w:p>
    <w:p>
      <w:pPr>
        <w:spacing w:after="80"/>
      </w:pPr>
      <w:r>
        <w:rPr>
          <w:sz w:val="22"/>
          <w:szCs w:val="22"/>
        </w:rPr>
        <w:t xml:space="preserve">Led enterprise-wide AI and data platform development serving 11 markets and 1200+ global users, delivering technical excellence while influencing C-suite data strategy.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Delivered a Self-Service ML Platform that reduced model development time from 6 months to 1 week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Designed credit risk AI models integrating alternative data sources, improving accuracy by 15%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Modernized MarTech infrastructure, driving 30% increase in customer acquisition</w:t>
      </w:r>
    </w:p>
    <w:p>
      <w:pPr>
        <w:spacing w:before="160" w:after="40"/>
      </w:pPr>
      <w:r>
        <w:rPr>
          <w:b/>
          <w:bCs/>
          <w:sz w:val="24"/>
          <w:szCs w:val="24"/>
        </w:rPr>
        <w:t xml:space="preserve">Think Big Analytics (a Teradata company)</w:t>
      </w:r>
    </w:p>
    <w:p>
      <w:pPr>
        <w:spacing w:after="60"/>
      </w:pPr>
      <w:r>
        <w:rPr>
          <w:b/>
          <w:bCs/>
          <w:sz w:val="22"/>
          <w:szCs w:val="22"/>
        </w:rPr>
        <w:t xml:space="preserve">Principal Data Engineer / Solution Architect</w:t>
      </w:r>
      <w:r>
        <w:t xml:space="preserve">  </w:t>
      </w:r>
      <w:r>
        <w:rPr>
          <w:i/>
          <w:iCs/>
          <w:sz w:val="22"/>
          <w:szCs w:val="22"/>
        </w:rPr>
        <w:t xml:space="preserve">January 2017 - January 2019</w:t>
      </w:r>
    </w:p>
    <w:p>
      <w:pPr>
        <w:spacing w:after="80"/>
      </w:pPr>
      <w:r>
        <w:rPr>
          <w:sz w:val="22"/>
          <w:szCs w:val="22"/>
        </w:rPr>
        <w:t xml:space="preserve">Architected enterprise-scale data solutions for Fortune 500 clients across APAC, designing scalable platforms with measurable business impact.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Engineered 5 high-performance data lakes processing 1.2 PB/hour, achieving 20% optimization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Built real-time fraud detection systems, reducing false positives by 60% and saving $XM annually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Designed enterprise architectures supporting global Fortune 500 clients across APAC</w:t>
      </w:r>
    </w:p>
    <w:p>
      <w:pPr>
        <w:spacing w:before="160" w:after="40"/>
      </w:pPr>
      <w:r>
        <w:rPr>
          <w:b/>
          <w:bCs/>
          <w:sz w:val="24"/>
          <w:szCs w:val="24"/>
        </w:rPr>
        <w:t xml:space="preserve">Various Companies</w:t>
      </w:r>
    </w:p>
    <w:p>
      <w:pPr>
        <w:spacing w:after="60"/>
      </w:pPr>
      <w:r>
        <w:rPr>
          <w:b/>
          <w:bCs/>
          <w:sz w:val="22"/>
          <w:szCs w:val="22"/>
        </w:rPr>
        <w:t xml:space="preserve">Software Engineering, Architecture and Technical Consulting Roles</w:t>
      </w:r>
      <w:r>
        <w:t xml:space="preserve">  </w:t>
      </w:r>
      <w:r>
        <w:rPr>
          <w:i/>
          <w:iCs/>
          <w:sz w:val="22"/>
          <w:szCs w:val="22"/>
        </w:rPr>
        <w:t xml:space="preserve">January 2010 - January 2017</w:t>
      </w:r>
    </w:p>
    <w:p>
      <w:pPr>
        <w:spacing w:after="80"/>
      </w:pPr>
      <w:r>
        <w:rPr>
          <w:sz w:val="22"/>
          <w:szCs w:val="22"/>
        </w:rPr>
        <w:t xml:space="preserve">Progressively advanced through roles in software development, systems integration, and technical consulting within financial services and algorithmic trading domains.</w:t>
      </w:r>
    </w:p>
    <w:p>
      <w:pPr>
        <w:pStyle w:val="Heading1"/>
        <w:pBdr>
          <w:bottom w:val="single" w:color="000000" w:sz="6"/>
        </w:pBdr>
        <w:spacing w:before="300" w:after="120"/>
      </w:pPr>
      <w:r>
        <w:rPr>
          <w:b/>
          <w:bCs/>
          <w:color w:val="000000"/>
          <w:sz w:val="28"/>
          <w:szCs w:val="28"/>
        </w:rPr>
        <w:t xml:space="preserve">Research &amp; Open Source</w:t>
      </w:r>
    </w:p>
    <w:p>
      <w:pPr>
        <w:spacing w:before="120" w:after="40"/>
      </w:pPr>
      <w:r>
        <w:rPr>
          <w:b/>
          <w:bCs/>
          <w:sz w:val="22"/>
          <w:szCs w:val="22"/>
        </w:rPr>
        <w:t xml:space="preserve">Spark LLM Eval - Distributed Evaluation Framework</w:t>
      </w:r>
      <w:r>
        <w:rPr>
          <w:i/>
          <w:iCs/>
          <w:sz w:val="22"/>
          <w:szCs w:val="22"/>
        </w:rPr>
        <w:t xml:space="preserve"> (2025)</w:t>
      </w:r>
    </w:p>
    <w:p>
      <w:pPr>
        <w:spacing w:after="80"/>
      </w:pPr>
      <w:r>
        <w:rPr>
          <w:sz w:val="22"/>
          <w:szCs w:val="22"/>
        </w:rPr>
        <w:t xml:space="preserve">Distributed LLM evaluation framework built on Apache Spark for enterprise-scale model assessment. Addresses the gap in evaluating LLMs at scale with statistical rigor, integrating seamlessly with Databricks infrastructure.</w:t>
      </w:r>
    </w:p>
    <w:p>
      <w:pPr>
        <w:spacing w:before="120" w:after="40"/>
      </w:pPr>
      <w:r>
        <w:rPr>
          <w:b/>
          <w:bCs/>
          <w:sz w:val="22"/>
          <w:szCs w:val="22"/>
        </w:rPr>
        <w:t xml:space="preserve">CatchMe - Intelligent Trust Engine</w:t>
      </w:r>
      <w:r>
        <w:rPr>
          <w:i/>
          <w:iCs/>
          <w:sz w:val="22"/>
          <w:szCs w:val="22"/>
        </w:rPr>
        <w:t xml:space="preserve"> (2025)</w:t>
      </w:r>
    </w:p>
    <w:p>
      <w:pPr>
        <w:spacing w:after="40"/>
      </w:pPr>
      <w:r>
        <w:rPr>
          <w:i/>
          <w:iCs/>
          <w:color w:val="666666"/>
          <w:sz w:val="20"/>
          <w:szCs w:val="20"/>
        </w:rPr>
        <w:t xml:space="preserve">Google Technical Disclosures - Pending (APLS &amp; Cascade Routing)</w:t>
      </w:r>
    </w:p>
    <w:p>
      <w:pPr>
        <w:spacing w:after="80"/>
      </w:pPr>
      <w:r>
        <w:rPr>
          <w:sz w:val="22"/>
          <w:szCs w:val="22"/>
        </w:rPr>
        <w:t xml:space="preserve">First of a kind, industry agnostic hybrid agentic AI decisioning system across Finance, Healthcare, Insurance, Cybersecurity, and Supply Chain. Uses adversarial debate protocols (prosecutor/defense/judge) to qualify events/anomalies and build audit trails for regulated environments.</w:t>
      </w:r>
    </w:p>
    <w:p>
      <w:pPr>
        <w:spacing w:before="120" w:after="40"/>
      </w:pPr>
      <w:r>
        <w:rPr>
          <w:b/>
          <w:bCs/>
          <w:sz w:val="22"/>
          <w:szCs w:val="22"/>
        </w:rPr>
        <w:t xml:space="preserve">LLM Inference Efficiency Research</w:t>
      </w:r>
      <w:r>
        <w:rPr>
          <w:i/>
          <w:iCs/>
          <w:sz w:val="22"/>
          <w:szCs w:val="22"/>
        </w:rPr>
        <w:t xml:space="preserve"> (2025 - Present)</w:t>
      </w:r>
    </w:p>
    <w:p>
      <w:pPr>
        <w:spacing w:after="40"/>
      </w:pPr>
      <w:r>
        <w:rPr>
          <w:i/>
          <w:iCs/>
          <w:color w:val="666666"/>
          <w:sz w:val="20"/>
          <w:szCs w:val="20"/>
        </w:rPr>
        <w:t xml:space="preserve">Google Technical Disclosure - Pending</w:t>
      </w:r>
    </w:p>
    <w:p>
      <w:pPr>
        <w:spacing w:after="80"/>
      </w:pPr>
      <w:r>
        <w:rPr>
          <w:sz w:val="22"/>
          <w:szCs w:val="22"/>
        </w:rPr>
        <w:t xml:space="preserve">Research implementations addressing the fundamental bottleneck in LLM inference: memory-bandwidth constraints rather than compute limits. Explores acceleration through speculative decoding, custom GPU kernels, and quantization strategies.</w:t>
      </w:r>
    </w:p>
    <w:p>
      <w:pPr>
        <w:spacing w:before="120" w:after="40"/>
      </w:pPr>
      <w:r>
        <w:rPr>
          <w:b/>
          <w:bCs/>
          <w:sz w:val="22"/>
          <w:szCs w:val="22"/>
        </w:rPr>
        <w:t xml:space="preserve">AI Metacognition Toolkit</w:t>
      </w:r>
      <w:r>
        <w:rPr>
          <w:i/>
          <w:iCs/>
          <w:sz w:val="22"/>
          <w:szCs w:val="22"/>
        </w:rPr>
        <w:t xml:space="preserve"> (2025 - Present)</w:t>
      </w:r>
    </w:p>
    <w:p>
      <w:pPr>
        <w:spacing w:after="80"/>
      </w:pPr>
      <w:r>
        <w:rPr>
          <w:sz w:val="22"/>
          <w:szCs w:val="22"/>
        </w:rPr>
        <w:t xml:space="preserve">Activation-level detection of sandbagging, deception, and situational awareness in LLMs. Linear probes achieve 90-96% accuracy across Mistral, Gemma, and Qwen models. Includes steering vectors for runtime behavior control.</w:t>
      </w:r>
    </w:p>
    <w:p>
      <w:pPr>
        <w:spacing w:before="120" w:after="40"/>
      </w:pPr>
      <w:r>
        <w:rPr>
          <w:b/>
          <w:bCs/>
          <w:sz w:val="22"/>
          <w:szCs w:val="22"/>
        </w:rPr>
        <w:t xml:space="preserve">Steering Vectors for Agent Behavior Control</w:t>
      </w:r>
      <w:r>
        <w:rPr>
          <w:i/>
          <w:iCs/>
          <w:sz w:val="22"/>
          <w:szCs w:val="22"/>
        </w:rPr>
        <w:t xml:space="preserve"> (2025)</w:t>
      </w:r>
    </w:p>
    <w:p>
      <w:pPr>
        <w:spacing w:after="80"/>
      </w:pPr>
      <w:r>
        <w:rPr>
          <w:sz w:val="22"/>
          <w:szCs w:val="22"/>
        </w:rPr>
        <w:t xml:space="preserve">Runtime control of LLM agent behaviors through activation steering vectors - modifying model outputs at inference time without retraining. Demonstrates more calibrated control than traditional prompting approaches with LangChain integration.</w:t>
      </w:r>
    </w:p>
    <w:p>
      <w:pPr>
        <w:pStyle w:val="Heading1"/>
        <w:pBdr>
          <w:bottom w:val="single" w:color="000000" w:sz="6"/>
        </w:pBdr>
        <w:spacing w:before="300" w:after="120"/>
      </w:pPr>
      <w:r>
        <w:rPr>
          <w:b/>
          <w:bCs/>
          <w:color w:val="000000"/>
          <w:sz w:val="28"/>
          <w:szCs w:val="28"/>
        </w:rPr>
        <w:t xml:space="preserve">Publications &amp; Technical Disclosures</w:t>
      </w:r>
    </w:p>
    <w:p>
      <w:pPr>
        <w:spacing w:before="80" w:after="20"/>
      </w:pPr>
      <w:r>
        <w:rPr>
          <w:b/>
          <w:bCs/>
          <w:sz w:val="22"/>
          <w:szCs w:val="22"/>
        </w:rPr>
        <w:t xml:space="preserve">UPIR: Automated Synthesis and Verification of Distributed Systems</w:t>
      </w:r>
    </w:p>
    <w:p>
      <w:pPr>
        <w:spacing w:after="60"/>
      </w:pPr>
      <w:r>
        <w:rPr>
          <w:i/>
          <w:iCs/>
          <w:sz w:val="20"/>
          <w:szCs w:val="20"/>
        </w:rPr>
        <w:t xml:space="preserve">Google, Technical Disclosure Commons, November 2025</w:t>
      </w:r>
    </w:p>
    <w:p>
      <w:pPr>
        <w:spacing w:before="80" w:after="20"/>
      </w:pPr>
      <w:r>
        <w:rPr>
          <w:b/>
          <w:bCs/>
          <w:sz w:val="22"/>
          <w:szCs w:val="22"/>
        </w:rPr>
        <w:t xml:space="preserve">ETLC: A Context-First Approach to Data Processing in the Generative AI Era</w:t>
      </w:r>
    </w:p>
    <w:p>
      <w:pPr>
        <w:spacing w:after="60"/>
      </w:pPr>
      <w:r>
        <w:rPr>
          <w:i/>
          <w:iCs/>
          <w:sz w:val="20"/>
          <w:szCs w:val="20"/>
        </w:rPr>
        <w:t xml:space="preserve">Google Cloud, May 2025</w:t>
      </w:r>
    </w:p>
    <w:p>
      <w:pPr>
        <w:spacing w:before="80" w:after="20"/>
      </w:pPr>
      <w:r>
        <w:rPr>
          <w:b/>
          <w:bCs/>
          <w:sz w:val="22"/>
          <w:szCs w:val="22"/>
        </w:rPr>
        <w:t xml:space="preserve">Field-Theoretic Context System (FTCS)</w:t>
      </w:r>
    </w:p>
    <w:p>
      <w:pPr>
        <w:spacing w:after="60"/>
      </w:pPr>
      <w:r>
        <w:rPr>
          <w:i/>
          <w:iCs/>
          <w:sz w:val="20"/>
          <w:szCs w:val="20"/>
        </w:rPr>
        <w:t xml:space="preserve">Google, Technical Disclosure Commons, May 2025</w:t>
      </w:r>
    </w:p>
    <w:p>
      <w:pPr>
        <w:spacing w:before="80" w:after="20"/>
      </w:pPr>
      <w:r>
        <w:rPr>
          <w:b/>
          <w:bCs/>
          <w:sz w:val="22"/>
          <w:szCs w:val="22"/>
        </w:rPr>
        <w:t xml:space="preserve">ARTEMIS - Adaptive Multi-agent Debate Framework</w:t>
      </w:r>
    </w:p>
    <w:p>
      <w:pPr>
        <w:spacing w:after="60"/>
      </w:pPr>
      <w:r>
        <w:rPr>
          <w:i/>
          <w:iCs/>
          <w:sz w:val="20"/>
          <w:szCs w:val="20"/>
        </w:rPr>
        <w:t xml:space="preserve">Google, Technical Disclosure Commons, January 2025</w:t>
      </w:r>
    </w:p>
    <w:p>
      <w:pPr>
        <w:spacing w:before="80" w:after="20"/>
      </w:pPr>
      <w:r>
        <w:rPr>
          <w:b/>
          <w:bCs/>
          <w:sz w:val="22"/>
          <w:szCs w:val="22"/>
        </w:rPr>
        <w:t xml:space="preserve">Data Monetization Strategy for Enterprises</w:t>
      </w:r>
    </w:p>
    <w:p>
      <w:pPr>
        <w:spacing w:after="60"/>
      </w:pPr>
      <w:r>
        <w:rPr>
          <w:i/>
          <w:iCs/>
          <w:sz w:val="20"/>
          <w:szCs w:val="20"/>
        </w:rPr>
        <w:t xml:space="preserve">BITS Pilani, December 2023</w:t>
      </w:r>
    </w:p>
    <w:p>
      <w:pPr>
        <w:spacing w:before="80" w:after="20"/>
      </w:pPr>
      <w:r>
        <w:rPr>
          <w:b/>
          <w:bCs/>
          <w:sz w:val="22"/>
          <w:szCs w:val="22"/>
        </w:rPr>
        <w:t xml:space="preserve">OConsent: Open Consent Protocol for Privacy and Consent Management with Blockchain</w:t>
      </w:r>
    </w:p>
    <w:p>
      <w:pPr>
        <w:spacing w:after="60"/>
      </w:pPr>
      <w:r>
        <w:rPr>
          <w:i/>
          <w:iCs/>
          <w:sz w:val="20"/>
          <w:szCs w:val="20"/>
        </w:rPr>
        <w:t xml:space="preserve">BITS Pilani, December 2021</w:t>
      </w:r>
    </w:p>
    <w:p>
      <w:pPr>
        <w:pStyle w:val="Heading1"/>
        <w:pBdr>
          <w:bottom w:val="single" w:color="000000" w:sz="6"/>
        </w:pBdr>
        <w:spacing w:before="300" w:after="120"/>
      </w:pPr>
      <w:r>
        <w:rPr>
          <w:b/>
          <w:bCs/>
          <w:color w:val="000000"/>
          <w:sz w:val="28"/>
          <w:szCs w:val="28"/>
        </w:rPr>
        <w:t xml:space="preserve">Education</w:t>
      </w:r>
    </w:p>
    <w:p>
      <w:pPr>
        <w:spacing w:before="80" w:after="40"/>
      </w:pPr>
      <w:r>
        <w:rPr>
          <w:b/>
          <w:bCs/>
          <w:sz w:val="22"/>
          <w:szCs w:val="22"/>
        </w:rPr>
        <w:t xml:space="preserve">MBA, Business Analytics</w:t>
      </w:r>
      <w:r>
        <w:rPr>
          <w:sz w:val="22"/>
          <w:szCs w:val="22"/>
        </w:rPr>
        <w:t xml:space="preserve"> - </w:t>
      </w:r>
      <w:r>
        <w:rPr>
          <w:sz w:val="22"/>
          <w:szCs w:val="22"/>
        </w:rPr>
        <w:t xml:space="preserve">Birla Institute of Technology and Science, Pilani</w:t>
      </w:r>
      <w:r>
        <w:rPr>
          <w:i/>
          <w:iCs/>
          <w:sz w:val="22"/>
          <w:szCs w:val="22"/>
        </w:rPr>
        <w:t xml:space="preserve"> (2021 - 2023)</w:t>
      </w:r>
    </w:p>
    <w:p>
      <w:pPr>
        <w:spacing w:before="80" w:after="40"/>
      </w:pPr>
      <w:r>
        <w:rPr>
          <w:b/>
          <w:bCs/>
          <w:sz w:val="22"/>
          <w:szCs w:val="22"/>
        </w:rPr>
        <w:t xml:space="preserve">MTech, Software Systems</w:t>
      </w:r>
      <w:r>
        <w:rPr>
          <w:sz w:val="22"/>
          <w:szCs w:val="22"/>
        </w:rPr>
        <w:t xml:space="preserve"> - </w:t>
      </w:r>
      <w:r>
        <w:rPr>
          <w:sz w:val="22"/>
          <w:szCs w:val="22"/>
        </w:rPr>
        <w:t xml:space="preserve">Birla Institute of Technology and Science, Pilani</w:t>
      </w:r>
      <w:r>
        <w:rPr>
          <w:i/>
          <w:iCs/>
          <w:sz w:val="22"/>
          <w:szCs w:val="22"/>
        </w:rPr>
        <w:t xml:space="preserve"> (2017 - 2020)</w:t>
      </w:r>
    </w:p>
    <w:p>
      <w:pPr>
        <w:pStyle w:val="Heading1"/>
        <w:pBdr>
          <w:bottom w:val="single" w:color="000000" w:sz="6"/>
        </w:pBdr>
        <w:spacing w:before="300" w:after="120"/>
      </w:pPr>
      <w:r>
        <w:rPr>
          <w:b/>
          <w:bCs/>
          <w:color w:val="000000"/>
          <w:sz w:val="28"/>
          <w:szCs w:val="28"/>
        </w:rPr>
        <w:t xml:space="preserve">Technical Skills</w:t>
      </w:r>
    </w:p>
    <w:p>
      <w:pPr>
        <w:spacing w:after="60"/>
      </w:pPr>
      <w:r>
        <w:rPr>
          <w:b/>
          <w:bCs/>
          <w:sz w:val="22"/>
          <w:szCs w:val="22"/>
        </w:rPr>
        <w:t xml:space="preserve">Technology Leadership &amp; Strategy: </w:t>
      </w:r>
      <w:r>
        <w:rPr>
          <w:sz w:val="22"/>
          <w:szCs w:val="22"/>
        </w:rPr>
        <w:t xml:space="preserve">Enterprise Architecture, Digital Transformation, AI &amp; Data Strategy, C-Suite Advisory, Innovation Leadership, Strategic Planning</w:t>
      </w:r>
    </w:p>
    <w:p>
      <w:pPr>
        <w:spacing w:after="60"/>
      </w:pPr>
      <w:r>
        <w:rPr>
          <w:b/>
          <w:bCs/>
          <w:sz w:val="22"/>
          <w:szCs w:val="22"/>
        </w:rPr>
        <w:t xml:space="preserve">Data Engineering &amp; Architecture: </w:t>
      </w:r>
      <w:r>
        <w:rPr>
          <w:sz w:val="22"/>
          <w:szCs w:val="22"/>
        </w:rPr>
        <w:t xml:space="preserve">Data Pipelines, Real-Time Processing, Data Mesh &amp; Fabric, Data Governance, Apache Spark, Delta Lake, Apache Kafka, Apache Iceberg</w:t>
      </w:r>
    </w:p>
    <w:p>
      <w:pPr>
        <w:spacing w:after="60"/>
      </w:pPr>
      <w:r>
        <w:rPr>
          <w:b/>
          <w:bCs/>
          <w:sz w:val="22"/>
          <w:szCs w:val="22"/>
        </w:rPr>
        <w:t xml:space="preserve">Generative AI &amp; Machine Learning: </w:t>
      </w:r>
      <w:r>
        <w:rPr>
          <w:sz w:val="22"/>
          <w:szCs w:val="22"/>
        </w:rPr>
        <w:t xml:space="preserve">Multi-Agent Systems, Large Language Models, RAG Architecture, Vector Databases, PyTorch, LangChain, LangGraph, LlamaIndex, Google ADK, MCP, A2A Protocol, MLflow, LLMOps</w:t>
      </w:r>
    </w:p>
    <w:p>
      <w:pPr>
        <w:spacing w:after="60"/>
      </w:pPr>
      <w:r>
        <w:rPr>
          <w:b/>
          <w:bCs/>
          <w:sz w:val="22"/>
          <w:szCs w:val="22"/>
        </w:rPr>
        <w:t xml:space="preserve">Cloud Platforms &amp; Infrastructure: </w:t>
      </w:r>
      <w:r>
        <w:rPr>
          <w:sz w:val="22"/>
          <w:szCs w:val="22"/>
        </w:rPr>
        <w:t xml:space="preserve">Google Cloud Platform, BigQuery, Vertex AI, Dataproc, Cloud Composer, GKE, Terraform, Kubernetes</w:t>
      </w:r>
    </w:p>
    <w:p>
      <w:pPr>
        <w:spacing w:after="60"/>
      </w:pPr>
      <w:r>
        <w:rPr>
          <w:b/>
          <w:bCs/>
          <w:sz w:val="22"/>
          <w:szCs w:val="22"/>
        </w:rPr>
        <w:t xml:space="preserve">Programming &amp; Development: </w:t>
      </w:r>
      <w:r>
        <w:rPr>
          <w:sz w:val="22"/>
          <w:szCs w:val="22"/>
        </w:rPr>
        <w:t xml:space="preserve">Python, SQL, Scala, Triton, CUDA, Algorithm Design, Formal Verification, Program Synthesis, Distributed Systems</w:t>
      </w:r>
    </w:p>
    <w:sectPr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2025-12-25T06:24:41.152Z</dcterms:created>
  <dcterms:modified xsi:type="dcterms:W3CDTF">2025-12-25T06:24:41.152Z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