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of experience bridging fundamental AI research and enterprise-scale system delivery. Currently leading Google Cloud's Data &amp; Analytics practice for Southeast Asia while driving internal innovations on LLM inference efficiency and multi-agent systems.  Proven track record of operating as a "Player-Coach": managing regional engineering portfolios while simultaneously architecting and patenting novel frameworks (UPIR, ARTEMIS, FTCS, Speculative Decoding).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Analytics Manager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Dual-track role combining technical innovation leadership with regional delivery management. Built Google Cloud's Data Analytics practice across Southeast Asia while serving as Site Lead overseeing cross-practice operations. Member of delta - Google Cloud's innovation and transformation team architecting enterprise AI solutions at scale.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Strategic Leadership &amp; Delivery: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Data Analytics practice for Southeast Asia from 0 to 1, establishing the region's premier capability serving 7 countries with strategic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Serve as Site Lead overseeing PSO Southeast Asia delivery operations, directing cross-functional teams while maintaining 97% CSAT and contributing to 100% annual revenue target attainment.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Direct $XXM+ Data Analytics delivery portfolio across JAPAC while simultaneously overseeing $XXM+ cross-practice portfolio as regional Site Lead.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critical engagements for JAPAC strategic accounts including major financial services institutions and consumer electronics manufacturers, ensuring delivery excellence and client success.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Executed high-impact projects including 12K+ user analytics migrations, first Data &amp; AI Centers of Excellence, Data Monetization Platforms, and petabyte-scale data platform modernizations.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C-level stakeholders (CTOs, CDOs) to define data modernization and AI transformation roadmaps, translating technical capabilities into business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organization-wide adoption of agentic AI across PSO JAPAC for both customer solutions and internal productivity, including autonomous data engineering agents.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Technical Innovation &amp; Research (Official IP):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Research on speculative decoding, custom Triton kernels, and KV-cache compression strategies. Filed Google Technical Disclosure on hybrid compression systems for multi-tenant serving optimization.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Invented neuro-symbolic framework combining formal verification and reinforcement learning to automate distributed system generation - achieved 274x speedup in synthesis with 60% latency reduction.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Field-Theoretic Context System modeling context as continuous fields to address long-horizon memory fragmentation in AI agents. Published as Google Technical Disclosure.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Authored whitepaper introducing Extract, Transform, Load, Contextualize framework adding semantic, relational, and behavioral context to data pipelines for RAG and agentic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Created adaptive debate-driven decision framework for enterprise multi-agent systems. Published as Google Technical Disclosure.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Developed industry-agnostic agentic AI system for enterprise-scale trust decisions across Finance, Healthcare, Insurance, Cybersecurity, and Supply Chain. Features APLS (self-learning pattern synthesis) and five-level cascade routing achieving 86% cost reduction with sub-50ms latency. Won Google Cloud PSO Hackathon JAPAC Regionals, qualified for World Finals. Two pending Google Technical Disclosures.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enterprise-wide AI and data platform development serving 11 markets and 1200+ global users, delivering technical excellence while influencing C-suite data strategy.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a Self-Service ML Platform that reduced model development time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integrating alternative data sources, improving accuracy by 15%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infrastructure,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(a Teradata company)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enterprise-scale data solutions for Fortune 500 clients across APAC, designing scalable platforms with measurable business impact.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high-performance data lakes processing 1.2 PB/hour, achieving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systems, reducing false positives by 60% and saving $XM annually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enterprise architectures supporting global Fortune 500 clients across APAC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Engineering, Architecture and Technical Consulting Roles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Progressively advanced through roles in software development, systems integration, and technical consulting within financial services and algorithmic trading domains.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 Research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Research implementations addressing the fundamental bottleneck in LLM inference: memory-bandwidth constraints rather than compute limits. Explores acceleration through speculative decoding, custom GPU kernels, and quantization strategies.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(2025 - Present)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sandbagging, deception, and situational awareness in LLMs. Linear probes achieve 90-96% accuracy across Mistral, Gemma, and Qwen models. Includes steering vectors for runtime behavior control.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combining formal verification, program synthesis, and reinforcement learning to automatically generate verified distributed system implementations from specifications.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 Control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 vectors - modifying model outputs at inference time without retraining. Demonstrates more calibrated control than traditional prompting approaches with LangChain integration.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Distributed LLM evaluation framework built on Apache Spark for enterprise-scale model assessment. Addresses the gap in evaluating LLMs at scale with statistical rigor, integrating seamlessly with Databricks infrastructure.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Disclosures - Pending (APLS &amp; Cascade Routing)</w:t>
      </w:r>
    </w:p>
    <w:p>
      <w:pPr>
        <w:spacing w:after="80"/>
      </w:pPr>
      <w:r>
        <w:rPr>
          <w:sz w:val="22"/>
          <w:szCs w:val="22"/>
        </w:rPr>
        <w:t xml:space="preserve">Industry-agnostic agentic AI system for enterprise-scale trust decisions across Finance, Healthcare, Insurance, Cybersecurity, and Supply Chain. Uses adversarial debate protocols (prosecutor/defense/judge) to filter hallucinations and build audit trails for regulated environments.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A Context-First Approach to Data Processing in the Generative AI Era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Data Monetization Strategy for Enterprises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2023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Open Consent Protocol for Privacy and Consent Management with Blockchain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Birla Institute of Technology and Science,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Technology Leadership &amp; Strategy: </w:t>
      </w:r>
      <w:r>
        <w:rPr>
          <w:sz w:val="22"/>
          <w:szCs w:val="22"/>
        </w:rPr>
        <w:t xml:space="preserve">Enterprise Architecture, Technical Vision &amp; Roadmaps, Digital Transformation, AI &amp; Data Strategy, Cloud Architecture, C-Suite Advisory, Innovation Leadership, Strategic Planning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Engineering &amp; Architecture: </w:t>
      </w:r>
      <w:r>
        <w:rPr>
          <w:sz w:val="22"/>
          <w:szCs w:val="22"/>
        </w:rPr>
        <w:t xml:space="preserve">Petabyte-Scale Data Platforms, Data Pipelines, Real-Time Processing, Data Mesh &amp; Fabric, Apache Spark, Apache Hadoop, Apache HBase, Apache Flink, Apache Kafka, Apache Iceberg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Generative AI &amp; Machine Learning: </w:t>
      </w:r>
      <w:r>
        <w:rPr>
          <w:sz w:val="22"/>
          <w:szCs w:val="22"/>
        </w:rPr>
        <w:t xml:space="preserve">Multi-Agent Systems, Large Language Models, RAG Architecture, Vector Databases, PyTorch, LangChain, LangGraph, LlamaIndex, Google ADK, MCP, A2A Protocol, MLflow, LLMOps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Platforms &amp; Infrastructure: </w:t>
      </w:r>
      <w:r>
        <w:rPr>
          <w:sz w:val="22"/>
          <w:szCs w:val="22"/>
        </w:rPr>
        <w:t xml:space="preserve">Google Cloud Platform, BigQuery, Vertex AI, Dataflow, Cloud Composer, GKE, Terraform, Kubernetes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Programming &amp; Development: </w:t>
      </w:r>
      <w:r>
        <w:rPr>
          <w:sz w:val="22"/>
          <w:szCs w:val="22"/>
        </w:rPr>
        <w:t xml:space="preserve">Python, SQL, Scala, Triton, CUDA, Algorithm Design, Formal Verification, Program Synthesis, Distributed Systems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Certifications</w:t>
      </w:r>
    </w:p>
    <w:p>
      <w:pPr>
        <w:spacing w:after="40"/>
      </w:pPr>
      <w:r>
        <w:rPr>
          <w:sz w:val="22"/>
          <w:szCs w:val="22"/>
        </w:rPr>
        <w:t xml:space="preserve">Google Cloud Certified Professional Cloud Architect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Google Cloud Certified Professional Cloud Data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Google Cloud Certified Professional Machine Learning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Affiliations</w:t>
      </w:r>
    </w:p>
    <w:p>
      <w:pPr>
        <w:spacing w:after="80"/>
      </w:pPr>
      <w:r>
        <w:rPr>
          <w:sz w:val="22"/>
          <w:szCs w:val="22"/>
        </w:rPr>
        <w:t xml:space="preserve">IEEE | ACM | Singapore Computer Society | Royal Institute of Navigation | IIT Madras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2025-12-24T12:03:14.881Z</dcterms:created>
  <dcterms:modified xsi:type="dcterms:W3CDTF">2025-12-24T12:03:14.881Z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