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8"/>
          <w:szCs w:val="48"/>
        </w:rPr>
        <w:t xml:space="preserve">Subhadip Mitra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Engineering Leader &amp; AI Systems Architect</w:t>
      </w:r>
    </w:p>
    <w:p>
      <w:pPr>
        <w:spacing w:after="40"/>
        <w:jc w:val="center"/>
      </w:pPr>
      <w:r>
        <w:rPr>
          <w:sz w:val="22"/>
          <w:szCs w:val="22"/>
        </w:rPr>
        <w:t xml:space="preserve">Singapore | +65 82501776 | contact@subhadipmitra.com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linkedin.com/in/subhadip-mitra | GitHub: github.com/bassrehab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Summary</w:t>
      </w:r>
    </w:p>
    <w:p>
      <w:pPr>
        <w:spacing w:after="120"/>
      </w:pPr>
      <w:r>
        <w:rPr>
          <w:sz w:val="22"/>
          <w:szCs w:val="22"/>
        </w:rPr>
        <w:t xml:space="preserve">Senior Engineering Leader with 15+ years of experience bridging fundamental AI research and enterprise-scale system delivery. Currently leading Google Cloud's Data &amp; Analytics practice for Southeast Asia while driving internal innovations on LLM inference efficiency, multi-agent systems, and AI safety research (activation probing, sandbagging detection).  Proven track record of operating as a "Player-Coach": managing regional engineering portfolios while simultaneously architecting and patenting novel frameworks (UPIR, ARTEMIS, FTCS, Speculative Decoding).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Experience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Google Cloud - Professional Services Organization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Head of Data &amp; Analytics, Southeast Asia | Site Lead, PSO Southeast Asia</w:t>
      </w:r>
      <w:r>
        <w:t xml:space="preserve">  </w:t>
      </w:r>
      <w:r>
        <w:rPr>
          <w:i/>
          <w:iCs/>
          <w:sz w:val="22"/>
          <w:szCs w:val="22"/>
        </w:rPr>
        <w:t xml:space="preserve">January 2021 - Present</w:t>
      </w:r>
    </w:p>
    <w:p>
      <w:pPr>
        <w:spacing w:after="80"/>
      </w:pPr>
      <w:r>
        <w:rPr>
          <w:sz w:val="22"/>
          <w:szCs w:val="22"/>
        </w:rPr>
        <w:t xml:space="preserve">Dual-track role combining technical innovation leadership with regional delivery management. Built Google Cloud's Data Analytics practice across Southeast Asia while serving as Site Lead overseeing cross-practice operations. Member of &lt;a href="https://cloud.google.com/consulting/innovation-and-transformation"&gt;delta&lt;/a&gt; - Google Cloud's innovation and transformation team architecting enterprise AI solutions at scale.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Strategic Leadership &amp; Delivery: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Analytics practice for Southeast Asia from 0 to 1, recruiting and developing engineering talent while establishing the region's premier capability serving strategic enterprise clients across 7 countries.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Serve as Site Lead overseeing delivery governance across all 7 PSO practices (Data Analytics, AI/ML, Infrastructure, Security, Enterprise Architecture, Application Development, Delivery Management) in Southeast Asia, owning utilization and CSAT metrics (97%) while driving strategic pursuits and contributing to 100% annual revenue target attainment.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Direct $XXM+ Data Analytics delivery portfolio across JAPAC while simultaneously overseeing $XXM+ cross-practice portfolio as regional Site Lead.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Led critical engagements for JAPAC strategic accounts including major financial services institutions, telcos and consumer electronics manufacturers, ensuring delivery excellence and client success.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Sales leadership on strategic pursuits and collaborate with Product Engineering to shape platform roadmap based on field insights and customer requirements.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Spearheaded cross-practice rescue operations for at-risk enterprise accounts with multi-million dollar project values, recovering strategic customers and converting potential platform exits into long-term partnerships.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first-of-kind solutions including GenAI-powered reconciliation framework for a major airline (now replicated across JAPAC), large-scale ML platform migrations (30K+ notebooks), and petabyte-scale data platform modernizations.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C-level stakeholders (CTOs, CDOs) to define data modernization and AI transformation roadmaps, translating technical capabilities into business outcomes.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Pioneered agentic AI adoption across all 7 PSO practices (Data Analytics, AI/ML, Infrastructure, Security, Enterprise Architecture, Application Development, Delivery Management) and 6 JAPAC sub-regions, building SDKs, agent catalog, and standardized templates while designing reusable governance frameworks that accelerated innovation and reduced delivery costs.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agentic tool suites including architecture discovery (100M+ node graph modeling), automated data pipeline generation, and platform cleanup agents that recovered multi-million dollar at-risk engagements and secured significant long-term cloud commitments.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Strategy competency from 0, delivering 8-figure pursuit value across 14 strategic pitches in Asia Pacific while establishing critical data assets and new GTM offerings.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Technical Innovation &amp; Research: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5 Google Technical Disclosures on AI and distributed systems - UPIR (automated system synthesis, 274x speedup), FTCS (context architecture for AI agents), ARTEMIS (multi-agent debate framework), ETLC (data processing for GenAI), and LLM inference optimization (speculative decoding, custom Triton kernels).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Industry-agnostic agentic AI for enterprise trust decisions. APLS self-learning + cascade routing achieving 86% cost reduction, sub-50ms latency. Won Google Cloud PSO Hackathon JAPAC, qualified for World Finals.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Standard Chartered Bank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Engineer - Data &amp; Analytics Transformation</w:t>
      </w:r>
      <w:r>
        <w:t xml:space="preserve">  </w:t>
      </w:r>
      <w:r>
        <w:rPr>
          <w:i/>
          <w:iCs/>
          <w:sz w:val="22"/>
          <w:szCs w:val="22"/>
        </w:rPr>
        <w:t xml:space="preserve">January 2019 - January 2021</w:t>
      </w:r>
    </w:p>
    <w:p>
      <w:pPr>
        <w:spacing w:after="80"/>
      </w:pPr>
      <w:r>
        <w:rPr>
          <w:sz w:val="22"/>
          <w:szCs w:val="22"/>
        </w:rPr>
        <w:t xml:space="preserve">Led enterprise-wide AI and data platform development serving 11 markets, delivering technical excellence while influencing C-suite data strategy.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a Self-Service ML Platform that reduced model development time from months to weeks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MarTech modernization - +30% customer acquisition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Think Big Analytics (a Teradata company)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Data Engineer / Solution Architect</w:t>
      </w:r>
      <w:r>
        <w:t xml:space="preserve">  </w:t>
      </w:r>
      <w:r>
        <w:rPr>
          <w:i/>
          <w:iCs/>
          <w:sz w:val="22"/>
          <w:szCs w:val="22"/>
        </w:rPr>
        <w:t xml:space="preserve">January 2017 - January 2019</w:t>
      </w:r>
    </w:p>
    <w:p>
      <w:pPr>
        <w:spacing w:after="80"/>
      </w:pPr>
      <w:r>
        <w:rPr>
          <w:sz w:val="22"/>
          <w:szCs w:val="22"/>
        </w:rPr>
        <w:t xml:space="preserve">Architected enterprise-scale data solutions for Fortune 500 clients across APAC.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Data lakes processing 1.2 PB/hour for Fortune 500 clients across APAC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Real-time fraud detection systems - 60% reduction in false positives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Microsoft, Truckaurbus (Founder), UTU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Software Engineering &amp; Technical Leadership</w:t>
      </w:r>
      <w:r>
        <w:t xml:space="preserve">  </w:t>
      </w:r>
      <w:r>
        <w:rPr>
          <w:i/>
          <w:iCs/>
          <w:sz w:val="22"/>
          <w:szCs w:val="22"/>
        </w:rPr>
        <w:t xml:space="preserve">January 2010 - January 2017</w:t>
      </w:r>
    </w:p>
    <w:p>
      <w:pPr>
        <w:spacing w:after="80"/>
      </w:pPr>
      <w:r>
        <w:rPr>
          <w:sz w:val="22"/>
          <w:szCs w:val="22"/>
        </w:rPr>
        <w:t xml:space="preserve">Progressive advancement through software engineering, entrepreneurship, and technical leadership across systems development, marketplace platforms, and payments infrastructure.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Microsoft (2010-2014): Windows Kernel development (Windows 7/8, Server 2012 R2), Azure ML implementations, CDN architecture optimization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Truckaurbus (2014-2016): Founded B2B commercial vehicle marketplace - 15 cities, 25+ OEM/bank partnerships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UTU Singapore (2016-2017): Led maiden Thailand technical development; bank integration; payment/rewards systems for merchants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Research &amp; Open Source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Spark LLM Eval - Distributed Evaluation Framework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Distributed LLM evaluation framework built on Apache Spark for enterprise-scale model assessment. Addresses the gap in evaluating LLMs at scale with statistical rigor, integrating seamlessly with Databricks infrastructure.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LLM Inference Efficiency Research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 - Pending</w:t>
      </w:r>
    </w:p>
    <w:p>
      <w:pPr>
        <w:spacing w:after="80"/>
      </w:pPr>
      <w:r>
        <w:rPr>
          <w:sz w:val="22"/>
          <w:szCs w:val="22"/>
        </w:rPr>
        <w:t xml:space="preserve">Research implementations addressing the fundamental bottleneck in LLM inference: memory-bandwidth constraints rather than compute limits. Explores acceleration through speculative decoding, custom GPU kernels, and quantization strategies.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AI Metacognition Toolkit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80"/>
      </w:pPr>
      <w:r>
        <w:rPr>
          <w:sz w:val="22"/>
          <w:szCs w:val="22"/>
        </w:rPr>
        <w:t xml:space="preserve">Activation-level detection of sandbagging, deception, and situational awareness in LLMs. Linear probes achieve 90-96% accuracy across Mistral, Gemma, and Qwen models. Includes steering vectors for runtime behavior control.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Steering Vectors for Agent Behavior Control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Runtime control of LLM agent behaviors through activation steering vectors - modifying model outputs at inference time without retraining. Demonstrates more calibrated control than traditional prompting approaches with LangChain integration.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Publications &amp; Technical Disclosures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UPIR: Automated Synthesis and Verification of Distributed Systems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November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ETLC: A Context-First Approach to Data Processing in the Generative AI Era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 Cloud,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Field-Theoretic Context System (FTCS)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ARTEMIS - Adaptive Multi-agent Debate Framework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January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Data Monetization Strategy for Enterprises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2023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OConsent: Open Consent Protocol for Privacy and Consent Management with Blockchain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2021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Education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MBA, Business Analytics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(2021 - 2023)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MTech, Software Systems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(2017 - 2020)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Technology Leadership &amp; Strategy: </w:t>
      </w:r>
      <w:r>
        <w:rPr>
          <w:sz w:val="22"/>
          <w:szCs w:val="22"/>
        </w:rPr>
        <w:t xml:space="preserve">Enterprise Architecture, Digital Transformation, AI &amp; Data Strategy, C-Suite Advisory, Innovation Leadership, Strategic Planning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 Engineering &amp; Architecture: </w:t>
      </w:r>
      <w:r>
        <w:rPr>
          <w:sz w:val="22"/>
          <w:szCs w:val="22"/>
        </w:rPr>
        <w:t xml:space="preserve">Data Pipelines, Real-Time Processing, Data Mesh &amp; Fabric, Data Governance, Apache Spark, Delta Lake, Apache Kafka, Apache Iceberg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Generative AI &amp; Machine Learning: </w:t>
      </w:r>
      <w:r>
        <w:rPr>
          <w:sz w:val="22"/>
          <w:szCs w:val="22"/>
        </w:rPr>
        <w:t xml:space="preserve">Multi-Agent Systems, Large Language Models, RAG Architecture, Vector Databases, PyTorch, LangChain, LangGraph, LlamaIndex, Google ADK, MCP, A2A Protocol, MLflow, LLMOps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Platforms &amp; Infrastructure: </w:t>
      </w:r>
      <w:r>
        <w:rPr>
          <w:sz w:val="22"/>
          <w:szCs w:val="22"/>
        </w:rPr>
        <w:t xml:space="preserve">Google Cloud Platform, BigQuery, Vertex AI, Dataproc, Cloud Composer, GKE, Terraform, Kubernetes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Programming &amp; Development: </w:t>
      </w:r>
      <w:r>
        <w:rPr>
          <w:sz w:val="22"/>
          <w:szCs w:val="22"/>
        </w:rPr>
        <w:t xml:space="preserve">Python, SQL, Scala, Triton, CUDA, Algorithm Design, Formal Verification, Program Synthesis, Distributed 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2025-12-25T20:40:05.803Z</dcterms:created>
  <dcterms:modified xsi:type="dcterms:W3CDTF">2025-12-25T20:40:05.803Z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