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8"/>
          <w:szCs w:val="48"/>
        </w:rPr>
        <w:t xml:space="preserve">Subhadip Mitra</w:t>
      </w:r>
    </w:p>
    <w:p>
      <w:pPr>
        <w:spacing w:after="80"/>
        <w:jc w:val="center"/>
      </w:pPr>
      <w:r>
        <w:rPr>
          <w:i/>
          <w:iCs/>
          <w:sz w:val="24"/>
          <w:szCs w:val="24"/>
        </w:rPr>
        <w:t xml:space="preserve">Engineering Leader &amp; AI Systems Architect</w:t>
      </w:r>
    </w:p>
    <w:p>
      <w:pPr>
        <w:spacing w:after="40"/>
        <w:jc w:val="center"/>
      </w:pPr>
      <w:r>
        <w:rPr>
          <w:sz w:val="22"/>
          <w:szCs w:val="22"/>
        </w:rPr>
        <w:t xml:space="preserve">Singapore | contact@subhadipmitra.com</w:t>
      </w:r>
    </w:p>
    <w:p>
      <w:pPr>
        <w:spacing w:after="200"/>
        <w:jc w:val="center"/>
      </w:pPr>
      <w:r>
        <w:rPr>
          <w:sz w:val="22"/>
          <w:szCs w:val="22"/>
        </w:rPr>
        <w:t xml:space="preserve">LinkedIn: linkedin.com/in/subhadip-mitra | GitHub: github.com/bassrehab</w:t>
      </w:r>
    </w:p>
    <w:p>
      <w:pPr>
        <w:pStyle w:val="Heading1"/>
        <w:pBdr>
          <w:bottom w:val="single" w:color="000000" w:sz="6"/>
        </w:pBdr>
        <w:spacing w:before="300" w:after="120"/>
      </w:pPr>
      <w:r>
        <w:rPr>
          <w:b/>
          <w:bCs/>
          <w:color w:val="000000"/>
          <w:sz w:val="28"/>
          <w:szCs w:val="28"/>
        </w:rPr>
        <w:t xml:space="preserve">Professional Summary</w:t>
      </w:r>
    </w:p>
    <w:p>
      <w:pPr>
        <w:spacing w:after="120"/>
      </w:pPr>
      <w:r>
        <w:rPr>
          <w:sz w:val="22"/>
          <w:szCs w:val="22"/>
        </w:rPr>
        <w:t xml:space="preserve">Senior Engineering Leader with 15+ years bridging AI research and enterprise delivery. Leading Google Cloud's Data &amp; Analytics practice for Southeast Asia while driving innovations in LLM inference and multi-agent systems. Track record as "Player-Coach" - managing regional portfolios while architecting patented frameworks (UPIR, ARTEMIS, FTCS).</w:t>
      </w:r>
    </w:p>
    <w:p>
      <w:pPr>
        <w:pStyle w:val="Heading1"/>
        <w:pBdr>
          <w:bottom w:val="single" w:color="000000" w:sz="6"/>
        </w:pBdr>
        <w:spacing w:before="300" w:after="120"/>
      </w:pPr>
      <w:r>
        <w:rPr>
          <w:b/>
          <w:bCs/>
          <w:color w:val="000000"/>
          <w:sz w:val="28"/>
          <w:szCs w:val="28"/>
        </w:rPr>
        <w:t xml:space="preserve">Professional Experience</w:t>
      </w:r>
    </w:p>
    <w:p>
      <w:pPr>
        <w:spacing w:before="160" w:after="40"/>
      </w:pPr>
      <w:r>
        <w:rPr>
          <w:b/>
          <w:bCs/>
          <w:sz w:val="24"/>
          <w:szCs w:val="24"/>
        </w:rPr>
        <w:t xml:space="preserve">Google Cloud - Professional Services Organization</w:t>
      </w:r>
    </w:p>
    <w:p>
      <w:pPr>
        <w:spacing w:after="60"/>
      </w:pPr>
      <w:r>
        <w:rPr>
          <w:b/>
          <w:bCs/>
          <w:sz w:val="22"/>
          <w:szCs w:val="22"/>
        </w:rPr>
        <w:t xml:space="preserve">Head of Data &amp; Analytics, Southeast Asia | Site Lead, PSO Southeast Asia</w:t>
      </w:r>
      <w:r>
        <w:t xml:space="preserve">  </w:t>
      </w:r>
      <w:r>
        <w:rPr>
          <w:i/>
          <w:iCs/>
          <w:sz w:val="22"/>
          <w:szCs w:val="22"/>
        </w:rPr>
        <w:t xml:space="preserve">January 2021 - Present</w:t>
      </w:r>
    </w:p>
    <w:p>
      <w:pPr>
        <w:spacing w:after="80"/>
      </w:pPr>
      <w:r>
        <w:rPr>
          <w:sz w:val="22"/>
          <w:szCs w:val="22"/>
        </w:rPr>
        <w:t xml:space="preserve">Built Google Cloud's Data Analytics practice across Southeast Asia. Dual role as Site Lead overseeing regional delivery and technical innovation lead on &lt;a href="https://cloud.google.com/consulting/innovation-and-transformation"&gt;delta&lt;/a&gt; team.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Built D&amp;A practice from 0 to 1 across 6 countries; 97% CSAT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Site Lead overseeing delivery governance across 7 PSO practices (Data Analytics, AI/ML, Infrastructure, Security, Enterprise Architecture, AppDev, Delivery Management)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Pioneered agentic AI adoption across 7 practices and 6 JAPAC sub-regions with SDKs, agent catalog, and governance frameworks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Spearheaded rescue operations for at-risk enterprise accounts, recovering strategic customers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Partner with Sales leadership on strategic pursuits; collaborate with Product Engineering on platform roadmap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Published 5 technical disclosures (UPIR, FTCS, ARTEMIS, ETLC, CatchMe) on AI/distributed systems</w:t>
      </w:r>
    </w:p>
    <w:p>
      <w:pPr>
        <w:spacing w:before="160" w:after="40"/>
      </w:pPr>
      <w:r>
        <w:rPr>
          <w:b/>
          <w:bCs/>
          <w:sz w:val="24"/>
          <w:szCs w:val="24"/>
        </w:rPr>
        <w:t xml:space="preserve">Standard Chartered Bank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Principal Engineer - Data &amp; Analytics Transformation</w:t>
      </w:r>
      <w:r>
        <w:t xml:space="preserve">  </w:t>
      </w:r>
      <w:r>
        <w:rPr>
          <w:i/>
          <w:iCs/>
          <w:sz w:val="22"/>
          <w:szCs w:val="22"/>
        </w:rPr>
        <w:t xml:space="preserve">January 2019 - January 2021</w:t>
      </w:r>
    </w:p>
    <w:p>
      <w:pPr>
        <w:spacing w:after="80"/>
      </w:pPr>
      <w:r>
        <w:rPr>
          <w:sz w:val="22"/>
          <w:szCs w:val="22"/>
        </w:rPr>
        <w:t xml:space="preserve">Led enterprise AI and data platform development serving 11 markets and 1200+ users.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Delivered Self-Service ML Platform reducing model development from 6 months to 1 week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Modernized MarTech infrastructure driving 30% increase in customer acquisition</w:t>
      </w:r>
    </w:p>
    <w:p>
      <w:pPr>
        <w:spacing w:before="160" w:after="40"/>
      </w:pPr>
      <w:r>
        <w:rPr>
          <w:b/>
          <w:bCs/>
          <w:sz w:val="24"/>
          <w:szCs w:val="24"/>
        </w:rPr>
        <w:t xml:space="preserve">Think Big Analytics (Teradata)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Principal Data Engineer / Solution Architect</w:t>
      </w:r>
      <w:r>
        <w:t xml:space="preserve">  </w:t>
      </w:r>
      <w:r>
        <w:rPr>
          <w:i/>
          <w:iCs/>
          <w:sz w:val="22"/>
          <w:szCs w:val="22"/>
        </w:rPr>
        <w:t xml:space="preserve">January 2017 - January 2019</w:t>
      </w:r>
    </w:p>
    <w:p>
      <w:pPr>
        <w:spacing w:after="80"/>
      </w:pPr>
      <w:r>
        <w:rPr>
          <w:sz w:val="22"/>
          <w:szCs w:val="22"/>
        </w:rPr>
        <w:t xml:space="preserve">Architected enterprise data solutions for Fortune 500 clients across APAC.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Engineered 5 data lakes processing 1.2 PB/hour with 20% optimization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Built real-time fraud detection reducing false positives by 60%</w:t>
      </w:r>
    </w:p>
    <w:p>
      <w:pPr>
        <w:spacing w:before="160" w:after="40"/>
      </w:pPr>
      <w:r>
        <w:rPr>
          <w:b/>
          <w:bCs/>
          <w:sz w:val="24"/>
          <w:szCs w:val="24"/>
        </w:rPr>
        <w:t xml:space="preserve">Microsoft, UTU &amp; Others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Software Engineering &amp; Technical Leadership</w:t>
      </w:r>
      <w:r>
        <w:t xml:space="preserve">  </w:t>
      </w:r>
      <w:r>
        <w:rPr>
          <w:i/>
          <w:iCs/>
          <w:sz w:val="22"/>
          <w:szCs w:val="22"/>
        </w:rPr>
        <w:t xml:space="preserve">January 2010 - January 2017</w:t>
      </w:r>
    </w:p>
    <w:p>
      <w:pPr>
        <w:spacing w:after="80"/>
      </w:pPr>
      <w:r>
        <w:rPr>
          <w:sz w:val="22"/>
          <w:szCs w:val="22"/>
        </w:rPr>
        <w:t xml:space="preserve">Windows Kernel development (Microsoft), payment systems (UTU Singapore), founded Truckaurbus B2B marketplace.</w:t>
      </w:r>
    </w:p>
    <w:p>
      <w:pPr>
        <w:pStyle w:val="Heading1"/>
        <w:pBdr>
          <w:bottom w:val="single" w:color="000000" w:sz="6"/>
        </w:pBdr>
        <w:spacing w:before="300" w:after="120"/>
      </w:pPr>
      <w:r>
        <w:rPr>
          <w:b/>
          <w:bCs/>
          <w:color w:val="000000"/>
          <w:sz w:val="28"/>
          <w:szCs w:val="28"/>
        </w:rPr>
        <w:t xml:space="preserve">Research &amp; Open Source</w:t>
      </w:r>
    </w:p>
    <w:p>
      <w:pPr>
        <w:spacing w:before="120" w:after="40"/>
      </w:pPr>
      <w:r>
        <w:rPr>
          <w:b/>
          <w:bCs/>
          <w:sz w:val="22"/>
          <w:szCs w:val="22"/>
        </w:rPr>
        <w:t xml:space="preserve">LLM Inference Efficiency</w:t>
      </w:r>
      <w:r>
        <w:rPr>
          <w:i/>
          <w:iCs/>
          <w:sz w:val="22"/>
          <w:szCs w:val="22"/>
        </w:rPr>
        <w:t xml:space="preserve"> (2025)</w:t>
      </w:r>
    </w:p>
    <w:p>
      <w:pPr>
        <w:spacing w:after="80"/>
      </w:pPr>
      <w:r>
        <w:rPr>
          <w:sz w:val="22"/>
          <w:szCs w:val="22"/>
        </w:rPr>
        <w:t xml:space="preserve">Speculative decoding, custom Triton kernels, KV-cache compression. 8.1x speedup, 88% peak bandwidth on A100.</w:t>
      </w:r>
    </w:p>
    <w:p>
      <w:pPr>
        <w:spacing w:before="120" w:after="40"/>
      </w:pPr>
      <w:r>
        <w:rPr>
          <w:b/>
          <w:bCs/>
          <w:sz w:val="22"/>
          <w:szCs w:val="22"/>
        </w:rPr>
        <w:t xml:space="preserve">AI Metacognition Toolkit</w:t>
      </w:r>
      <w:r>
        <w:rPr>
          <w:i/>
          <w:iCs/>
          <w:sz w:val="22"/>
          <w:szCs w:val="22"/>
        </w:rPr>
        <w:t xml:space="preserve"> (2025)</w:t>
      </w:r>
    </w:p>
    <w:p>
      <w:pPr>
        <w:spacing w:after="80"/>
      </w:pPr>
      <w:r>
        <w:rPr>
          <w:sz w:val="22"/>
          <w:szCs w:val="22"/>
        </w:rPr>
        <w:t xml:space="preserve">Activation-level detection of sandbagging and deception in LLMs. 90-96% accuracy with steering vectors.</w:t>
      </w:r>
    </w:p>
    <w:p>
      <w:pPr>
        <w:spacing w:before="120" w:after="40"/>
      </w:pPr>
      <w:r>
        <w:rPr>
          <w:b/>
          <w:bCs/>
          <w:sz w:val="22"/>
          <w:szCs w:val="22"/>
        </w:rPr>
        <w:t xml:space="preserve">UPIR - Distributed Systems Synthesis</w:t>
      </w:r>
      <w:r>
        <w:rPr>
          <w:i/>
          <w:iCs/>
          <w:sz w:val="22"/>
          <w:szCs w:val="22"/>
        </w:rPr>
        <w:t xml:space="preserve"> (2025)</w:t>
      </w:r>
    </w:p>
    <w:p>
      <w:pPr>
        <w:spacing w:after="80"/>
      </w:pPr>
      <w:r>
        <w:rPr>
          <w:sz w:val="22"/>
          <w:szCs w:val="22"/>
        </w:rPr>
        <w:t xml:space="preserve">Neuro-symbolic framework for automated distributed system generation. 274x speedup, 60% latency reduction.</w:t>
      </w:r>
    </w:p>
    <w:p>
      <w:pPr>
        <w:spacing w:before="120" w:after="40"/>
      </w:pPr>
      <w:r>
        <w:rPr>
          <w:b/>
          <w:bCs/>
          <w:sz w:val="22"/>
          <w:szCs w:val="22"/>
        </w:rPr>
        <w:t xml:space="preserve">CatchMe - Intelligent Trust Engine</w:t>
      </w:r>
      <w:r>
        <w:rPr>
          <w:i/>
          <w:iCs/>
          <w:sz w:val="22"/>
          <w:szCs w:val="22"/>
        </w:rPr>
        <w:t xml:space="preserve"> (2025)</w:t>
      </w:r>
    </w:p>
    <w:p>
      <w:pPr>
        <w:spacing w:after="80"/>
      </w:pPr>
      <w:r>
        <w:rPr>
          <w:sz w:val="22"/>
          <w:szCs w:val="22"/>
        </w:rPr>
        <w:t xml:space="preserve">Agentic AI for enterprise trust decisions. APLS pattern learning + cascade routing. 86% cost reduction, sub-50ms latency.</w:t>
      </w:r>
    </w:p>
    <w:p>
      <w:pPr>
        <w:spacing w:before="120" w:after="40"/>
      </w:pPr>
      <w:r>
        <w:rPr>
          <w:b/>
          <w:bCs/>
          <w:sz w:val="22"/>
          <w:szCs w:val="22"/>
        </w:rPr>
        <w:t xml:space="preserve">Spark LLM Eval - Distributed Evaluation Framework</w:t>
      </w:r>
      <w:r>
        <w:rPr>
          <w:i/>
          <w:iCs/>
          <w:sz w:val="22"/>
          <w:szCs w:val="22"/>
        </w:rPr>
        <w:t xml:space="preserve"> (2025)</w:t>
      </w:r>
    </w:p>
    <w:p>
      <w:pPr>
        <w:spacing w:after="80"/>
      </w:pPr>
      <w:r>
        <w:rPr>
          <w:sz w:val="22"/>
          <w:szCs w:val="22"/>
        </w:rPr>
        <w:t xml:space="preserve">Enterprise-scale LLM evaluation on Apache Spark. Statistical rigor with bootstrap intervals, multi-provider support (OpenAI, Anthropic, Gemini), Delta Lake integration.</w:t>
      </w:r>
    </w:p>
    <w:p>
      <w:pPr>
        <w:spacing w:before="120" w:after="40"/>
      </w:pPr>
      <w:r>
        <w:rPr>
          <w:b/>
          <w:bCs/>
          <w:sz w:val="22"/>
          <w:szCs w:val="22"/>
        </w:rPr>
        <w:t xml:space="preserve">Steering Vectors for Agent Behavior</w:t>
      </w:r>
      <w:r>
        <w:rPr>
          <w:i/>
          <w:iCs/>
          <w:sz w:val="22"/>
          <w:szCs w:val="22"/>
        </w:rPr>
        <w:t xml:space="preserve"> (2025)</w:t>
      </w:r>
    </w:p>
    <w:p>
      <w:pPr>
        <w:spacing w:after="80"/>
      </w:pPr>
      <w:r>
        <w:rPr>
          <w:sz w:val="22"/>
          <w:szCs w:val="22"/>
        </w:rPr>
        <w:t xml:space="preserve">Runtime control of LLM agent behaviors through activation steering. 65% uncertainty detection while maintaining 100% confidence on factual queries.</w:t>
      </w:r>
    </w:p>
    <w:p>
      <w:pPr>
        <w:pStyle w:val="Heading1"/>
        <w:pBdr>
          <w:bottom w:val="single" w:color="000000" w:sz="6"/>
        </w:pBdr>
        <w:spacing w:before="300" w:after="120"/>
      </w:pPr>
      <w:r>
        <w:rPr>
          <w:b/>
          <w:bCs/>
          <w:color w:val="000000"/>
          <w:sz w:val="28"/>
          <w:szCs w:val="28"/>
        </w:rPr>
        <w:t xml:space="preserve">Publications &amp; Technical Disclosures</w:t>
      </w:r>
    </w:p>
    <w:p>
      <w:pPr>
        <w:spacing w:before="80" w:after="20"/>
      </w:pPr>
      <w:r>
        <w:rPr>
          <w:b/>
          <w:bCs/>
          <w:sz w:val="22"/>
          <w:szCs w:val="22"/>
        </w:rPr>
        <w:t xml:space="preserve">UPIR: Automated Synthesis and Verification of Distributed Systems</w:t>
      </w:r>
    </w:p>
    <w:p>
      <w:pPr>
        <w:spacing w:after="60"/>
      </w:pPr>
      <w:r>
        <w:rPr>
          <w:i/>
          <w:iCs/>
          <w:sz w:val="20"/>
          <w:szCs w:val="20"/>
        </w:rPr>
        <w:t xml:space="preserve">Google, Technical Disclosure Commons, November 2025</w:t>
      </w:r>
    </w:p>
    <w:p>
      <w:pPr>
        <w:spacing w:before="80" w:after="20"/>
      </w:pPr>
      <w:r>
        <w:rPr>
          <w:b/>
          <w:bCs/>
          <w:sz w:val="22"/>
          <w:szCs w:val="22"/>
        </w:rPr>
        <w:t xml:space="preserve">ETLC: Context-First Data Processing for GenAI</w:t>
      </w:r>
    </w:p>
    <w:p>
      <w:pPr>
        <w:spacing w:after="60"/>
      </w:pPr>
      <w:r>
        <w:rPr>
          <w:i/>
          <w:iCs/>
          <w:sz w:val="20"/>
          <w:szCs w:val="20"/>
        </w:rPr>
        <w:t xml:space="preserve">Google Cloud, May 2025</w:t>
      </w:r>
    </w:p>
    <w:p>
      <w:pPr>
        <w:spacing w:before="80" w:after="20"/>
      </w:pPr>
      <w:r>
        <w:rPr>
          <w:b/>
          <w:bCs/>
          <w:sz w:val="22"/>
          <w:szCs w:val="22"/>
        </w:rPr>
        <w:t xml:space="preserve">Field-Theoretic Context System (FTCS)</w:t>
      </w:r>
    </w:p>
    <w:p>
      <w:pPr>
        <w:spacing w:after="60"/>
      </w:pPr>
      <w:r>
        <w:rPr>
          <w:i/>
          <w:iCs/>
          <w:sz w:val="20"/>
          <w:szCs w:val="20"/>
        </w:rPr>
        <w:t xml:space="preserve">Google, Technical Disclosure Commons, May 2025</w:t>
      </w:r>
    </w:p>
    <w:p>
      <w:pPr>
        <w:spacing w:before="80" w:after="20"/>
      </w:pPr>
      <w:r>
        <w:rPr>
          <w:b/>
          <w:bCs/>
          <w:sz w:val="22"/>
          <w:szCs w:val="22"/>
        </w:rPr>
        <w:t xml:space="preserve">ARTEMIS - Adaptive Multi-agent Debate Framework</w:t>
      </w:r>
    </w:p>
    <w:p>
      <w:pPr>
        <w:spacing w:after="60"/>
      </w:pPr>
      <w:r>
        <w:rPr>
          <w:i/>
          <w:iCs/>
          <w:sz w:val="20"/>
          <w:szCs w:val="20"/>
        </w:rPr>
        <w:t xml:space="preserve">Google, Technical Disclosure Commons, January 2025</w:t>
      </w:r>
    </w:p>
    <w:p>
      <w:pPr>
        <w:spacing w:before="80" w:after="20"/>
      </w:pPr>
      <w:r>
        <w:rPr>
          <w:b/>
          <w:bCs/>
          <w:sz w:val="22"/>
          <w:szCs w:val="22"/>
        </w:rPr>
        <w:t xml:space="preserve">OConsent: Blockchain Privacy &amp; Consent Protocol</w:t>
      </w:r>
    </w:p>
    <w:p>
      <w:pPr>
        <w:spacing w:after="60"/>
      </w:pPr>
      <w:r>
        <w:rPr>
          <w:i/>
          <w:iCs/>
          <w:sz w:val="20"/>
          <w:szCs w:val="20"/>
        </w:rPr>
        <w:t xml:space="preserve">BITS Pilani / arXiv, December 2021</w:t>
      </w:r>
    </w:p>
    <w:p>
      <w:pPr>
        <w:pStyle w:val="Heading1"/>
        <w:pBdr>
          <w:bottom w:val="single" w:color="000000" w:sz="6"/>
        </w:pBdr>
        <w:spacing w:before="300" w:after="120"/>
      </w:pPr>
      <w:r>
        <w:rPr>
          <w:b/>
          <w:bCs/>
          <w:color w:val="000000"/>
          <w:sz w:val="28"/>
          <w:szCs w:val="28"/>
        </w:rPr>
        <w:t xml:space="preserve">Education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MBA, Business Analytics</w:t>
      </w:r>
      <w:r>
        <w:rPr>
          <w:sz w:val="22"/>
          <w:szCs w:val="22"/>
        </w:rPr>
        <w:t xml:space="preserve"> - </w:t>
      </w:r>
      <w:r>
        <w:rPr>
          <w:sz w:val="22"/>
          <w:szCs w:val="22"/>
        </w:rPr>
        <w:t xml:space="preserve">BITS Pilani</w:t>
      </w:r>
      <w:r>
        <w:rPr>
          <w:i/>
          <w:iCs/>
          <w:sz w:val="22"/>
          <w:szCs w:val="22"/>
        </w:rPr>
        <w:t xml:space="preserve"> (2021 - 2023)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MTech, Software Systems</w:t>
      </w:r>
      <w:r>
        <w:rPr>
          <w:sz w:val="22"/>
          <w:szCs w:val="22"/>
        </w:rPr>
        <w:t xml:space="preserve"> - </w:t>
      </w:r>
      <w:r>
        <w:rPr>
          <w:sz w:val="22"/>
          <w:szCs w:val="22"/>
        </w:rPr>
        <w:t xml:space="preserve">BITS Pilani</w:t>
      </w:r>
      <w:r>
        <w:rPr>
          <w:i/>
          <w:iCs/>
          <w:sz w:val="22"/>
          <w:szCs w:val="22"/>
        </w:rPr>
        <w:t xml:space="preserve"> (2017 - 2020)</w:t>
      </w:r>
    </w:p>
    <w:p>
      <w:pPr>
        <w:pStyle w:val="Heading1"/>
        <w:pBdr>
          <w:bottom w:val="single" w:color="000000" w:sz="6"/>
        </w:pBdr>
        <w:spacing w:before="300" w:after="120"/>
      </w:pPr>
      <w:r>
        <w:rPr>
          <w:b/>
          <w:bCs/>
          <w:color w:val="000000"/>
          <w:sz w:val="28"/>
          <w:szCs w:val="28"/>
        </w:rPr>
        <w:t xml:space="preserve">Technical Skills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Leadership: </w:t>
      </w:r>
      <w:r>
        <w:rPr>
          <w:sz w:val="22"/>
          <w:szCs w:val="22"/>
        </w:rPr>
        <w:t xml:space="preserve">Enterprise Architecture, Digital Transformation, AI &amp; Data Strategy, C-Suite Advisory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Data &amp; AI: </w:t>
      </w:r>
      <w:r>
        <w:rPr>
          <w:sz w:val="22"/>
          <w:szCs w:val="22"/>
        </w:rPr>
        <w:t xml:space="preserve">Petabyte-Scale Platforms, Apache Spark/Kafka/Flink, Delta Lake, LLMs &amp; Multi-Agent Systems, RAG &amp; Vector Databases, PyTorch, Vertex AI</w:t>
      </w:r>
    </w:p>
    <w:p>
      <w:pPr>
        <w:spacing w:after="60"/>
      </w:pPr>
      <w:r>
        <w:rPr>
          <w:b/>
          <w:bCs/>
          <w:sz w:val="22"/>
          <w:szCs w:val="22"/>
        </w:rPr>
        <w:t xml:space="preserve">Cloud &amp; Engineering: </w:t>
      </w:r>
      <w:r>
        <w:rPr>
          <w:sz w:val="22"/>
          <w:szCs w:val="22"/>
        </w:rPr>
        <w:t xml:space="preserve">Google Cloud Platform, BigQuery, Python/SQL/Scala, Kubernetes, Distributed Systems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2025-12-26T18:31:17.584Z</dcterms:created>
  <dcterms:modified xsi:type="dcterms:W3CDTF">2025-12-26T18:31:17.584Z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