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+65 82501776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 and multi-agent systems.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6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(Data Analytics, AI/ML, Infrastructure, Security, Enterprise Architecture, Application Development, Delivery Management)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all 7 PSO practices (Data Analytics, AI/ML, Infrastructure, Security, Enterprise Architecture, Application Development, Delivery Management)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5 Google Technical Disclosures on AI and distributed systems - UPIR (automated system synthesis, 274x speedup), FTCS (context architecture for AI agents), ARTEMIS (multi-agent debate framework), ETLC (data processing for GenAI), and LLM inference optimization (speculative decoding, custom Triton kernels).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Industry-agnostic agentic AI for enterprise trust decisions. APLS self-learning + cascade routing achieving 86% cost reduction, sub-50ms latency. Won Google Cloud PSO Hackathon JAPAC, qualified for World Finals.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 and 1200+ global users,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integrating alternative data sources, improving accuracy by 15%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infrastructure,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APAC, designing scalable platforms with measurable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high-performance data lakes processing 1.2 PB/hour, achieving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systems, reducing false positives by 60% and saving $XM annually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enterprise architectures supporting global Fortune 500 clients across APAC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Engineering, Architecture and Technical Consulting Roles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Progressively advanced through roles in software development, systems integration, and technical consulting within financial services and algorithmic trading domains.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Disclosures - Pending (APLS &amp; Cascade Routing)</w:t>
      </w:r>
    </w:p>
    <w:p>
      <w:pPr>
        <w:spacing w:after="80"/>
      </w:pPr>
      <w:r>
        <w:rPr>
          <w:sz w:val="22"/>
          <w:szCs w:val="22"/>
        </w:rPr>
        <w:t xml:space="preserve">First of a kind, industry agnostic hybrid agentic AI decisioning system across Finance, Healthcare, Insurance, Cybersecurity, and Supply Chain. Uses adversarial debate protocols (prosecutor/defense/judge) to qualify events/anomalies and build audit trails for regulated environments.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2025-12-25T08:13:22.899Z</dcterms:created>
  <dcterms:modified xsi:type="dcterms:W3CDTF">2025-12-25T08:13:22.899Z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