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26602E">
      <w:pPr>
        <w:pStyle w:val="2"/>
        <w:keepNext/>
        <w:pageBreakBefore w:val="0"/>
        <w:spacing w:before="0" w:after="240" w:line="360" w:lineRule="auto"/>
        <w:ind w:left="0" w:right="0" w:firstLine="0"/>
        <w:jc w:val="center"/>
      </w:pPr>
      <w:bookmarkStart w:id="0" w:name="_Toc21"/>
      <w:bookmarkEnd w:id="0"/>
      <w:bookmarkStart w:id="1" w:name="_Toc58"/>
      <w:r>
        <w:rPr>
          <w:rFonts w:ascii="Times New Roman" w:hAnsi="Times New Roman" w:eastAsia="Times New Roman" w:cs="Times New Roman"/>
          <w:b/>
          <w:sz w:val="36"/>
        </w:rPr>
        <w:t>СОДЕРЖАНИЕ</w:t>
      </w:r>
      <w:bookmarkEnd w:id="1"/>
    </w:p>
    <w:p w14:paraId="3772FD98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begin"/>
      </w:r>
      <w:r>
        <w:instrText xml:space="preserve"> HYPERLINK \l _Toc58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СОДЕРЖАНИЕ</w:t>
      </w:r>
      <w:r>
        <w:tab/>
      </w:r>
      <w:r>
        <w:fldChar w:fldCharType="begin"/>
      </w:r>
      <w:r>
        <w:instrText xml:space="preserve"> PAGEREF _Toc58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B303A2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_Toc17881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ВВЕДЕНИЕ</w:t>
      </w:r>
      <w:r>
        <w:tab/>
      </w:r>
      <w:r>
        <w:fldChar w:fldCharType="begin"/>
      </w:r>
      <w:r>
        <w:instrText xml:space="preserve"> PAGEREF _Toc17881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109037DD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_Toc29927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 ТЕОРЕТИЧЕСКАЯ ЧАСТЬ</w:t>
      </w:r>
      <w:r>
        <w:tab/>
      </w:r>
      <w:r>
        <w:fldChar w:fldCharType="begin"/>
      </w:r>
      <w:r>
        <w:instrText xml:space="preserve"> PAGEREF _Toc29927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BEDA297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_Toc26159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1.1 Анализ предметной области</w:t>
      </w:r>
      <w:r>
        <w:tab/>
      </w:r>
      <w:r>
        <w:fldChar w:fldCharType="begin"/>
      </w:r>
      <w:r>
        <w:instrText xml:space="preserve"> PAGEREF _Toc26159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A5C82C6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_Toc23664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1.2 Анализ аналогов разрабатываемого решения</w:t>
      </w:r>
      <w:r>
        <w:tab/>
      </w:r>
      <w:r>
        <w:fldChar w:fldCharType="begin"/>
      </w:r>
      <w:r>
        <w:instrText xml:space="preserve"> PAGEREF _Toc23664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EFCD28B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_Toc2834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1.3 Описание требований к разрабатываемому решению</w:t>
      </w:r>
      <w:r>
        <w:tab/>
      </w:r>
      <w:r>
        <w:fldChar w:fldCharType="begin"/>
      </w:r>
      <w:r>
        <w:instrText xml:space="preserve"> PAGEREF _Toc2834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0F175D4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_Toc15334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2 ТЕХНОЛОГИЧЕСКАЯ ЧАСТЬ</w:t>
      </w:r>
      <w:r>
        <w:tab/>
      </w:r>
      <w:r>
        <w:fldChar w:fldCharType="begin"/>
      </w:r>
      <w:r>
        <w:instrText xml:space="preserve"> PAGEREF _Toc15334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B1017E0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_Toc24686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2.1 Выбор инструментов и/или средств для реализации проекта</w:t>
      </w:r>
      <w:r>
        <w:tab/>
      </w:r>
      <w:r>
        <w:fldChar w:fldCharType="begin"/>
      </w:r>
      <w:r>
        <w:instrText xml:space="preserve"> PAGEREF _Toc24686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8D1BD70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_Toc17980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2.2 Разработка проекта решения</w:t>
      </w:r>
      <w:r>
        <w:tab/>
      </w:r>
      <w:r>
        <w:fldChar w:fldCharType="begin"/>
      </w:r>
      <w:r>
        <w:instrText xml:space="preserve"> PAGEREF _Toc17980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D417F47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_Toc29008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 ПРАКТИЧЕСКАЯ ЧАСТЬ</w:t>
      </w:r>
      <w:r>
        <w:tab/>
      </w:r>
      <w:r>
        <w:fldChar w:fldCharType="begin"/>
      </w:r>
      <w:r>
        <w:instrText xml:space="preserve"> PAGEREF _Toc29008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560E066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_Toc5770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3.1 Разработка составных элементов</w:t>
      </w:r>
      <w:r>
        <w:tab/>
      </w:r>
      <w:r>
        <w:fldChar w:fldCharType="begin"/>
      </w:r>
      <w:r>
        <w:instrText xml:space="preserve"> PAGEREF _Toc5770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1FFFF5A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_Toc16299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3.2 Установка и настройка</w:t>
      </w:r>
      <w:r>
        <w:tab/>
      </w:r>
      <w:r>
        <w:fldChar w:fldCharType="begin"/>
      </w:r>
      <w:r>
        <w:instrText xml:space="preserve"> PAGEREF _Toc16299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38DE92A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_Toc5448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3.3 Тестирование</w:t>
      </w:r>
      <w:r>
        <w:tab/>
      </w:r>
      <w:r>
        <w:fldChar w:fldCharType="begin"/>
      </w:r>
      <w:r>
        <w:instrText xml:space="preserve"> PAGEREF _Toc5448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08AD097D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_Toc3875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3.4 Ввод в эксплуатацию</w:t>
      </w:r>
      <w:r>
        <w:tab/>
      </w:r>
      <w:r>
        <w:fldChar w:fldCharType="begin"/>
      </w:r>
      <w:r>
        <w:instrText xml:space="preserve"> PAGEREF _Toc3875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F435B8B">
      <w:pPr>
        <w:pStyle w:val="15"/>
        <w:tabs>
          <w:tab w:val="right" w:leader="dot" w:pos="9638"/>
          <w:tab w:val="clear" w:pos="426"/>
          <w:tab w:val="clear" w:pos="9628"/>
        </w:tabs>
      </w:pPr>
      <w:r>
        <w:fldChar w:fldCharType="begin"/>
      </w:r>
      <w:r>
        <w:instrText xml:space="preserve"> HYPERLINK \l _Toc10351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3.5 Разработка сопроводительной документации</w:t>
      </w:r>
      <w:r>
        <w:tab/>
      </w:r>
      <w:r>
        <w:fldChar w:fldCharType="begin"/>
      </w:r>
      <w:r>
        <w:instrText xml:space="preserve"> PAGEREF _Toc10351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2BD6ED9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_Toc8996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ЗАКЛЮЧЕНИЕ</w:t>
      </w:r>
      <w:r>
        <w:tab/>
      </w:r>
      <w:r>
        <w:fldChar w:fldCharType="begin"/>
      </w:r>
      <w:r>
        <w:instrText xml:space="preserve"> PAGEREF _Toc8996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7E13B48">
      <w:pPr>
        <w:pStyle w:val="13"/>
        <w:tabs>
          <w:tab w:val="right" w:leader="dot" w:pos="9638"/>
          <w:tab w:val="clear" w:pos="284"/>
          <w:tab w:val="clear" w:pos="9628"/>
        </w:tabs>
      </w:pPr>
      <w:r>
        <w:fldChar w:fldCharType="begin"/>
      </w:r>
      <w:r>
        <w:instrText xml:space="preserve"> HYPERLINK \l _Toc3497 </w:instrText>
      </w:r>
      <w:r>
        <w:fldChar w:fldCharType="separate"/>
      </w:r>
      <w:r>
        <w:rPr>
          <w:rFonts w:ascii="Times New Roman" w:hAnsi="Times New Roman" w:eastAsia="Times New Roman" w:cs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_Toc3497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2300FB02">
      <w:pPr>
        <w:widowControl/>
        <w:spacing w:before="0" w:after="0" w:line="360" w:lineRule="auto"/>
        <w:ind w:left="0" w:right="0" w:firstLine="709"/>
        <w:jc w:val="both"/>
      </w:pPr>
      <w:r>
        <w:fldChar w:fldCharType="end"/>
      </w:r>
    </w:p>
    <w:p w14:paraId="283D458A">
      <w:pPr>
        <w:pStyle w:val="2"/>
        <w:keepNext/>
        <w:pageBreakBefore/>
        <w:spacing w:before="0" w:after="240" w:line="360" w:lineRule="auto"/>
        <w:ind w:left="0" w:right="0" w:firstLine="0"/>
        <w:jc w:val="center"/>
      </w:pPr>
      <w:bookmarkStart w:id="2" w:name="_Toc1525"/>
      <w:bookmarkEnd w:id="2"/>
      <w:bookmarkStart w:id="3" w:name="_Toc17881"/>
      <w:r>
        <w:rPr>
          <w:rFonts w:ascii="Times New Roman" w:hAnsi="Times New Roman" w:eastAsia="Times New Roman" w:cs="Times New Roman"/>
          <w:b/>
          <w:sz w:val="36"/>
        </w:rPr>
        <w:t>ВВЕДЕНИЕ</w:t>
      </w:r>
      <w:bookmarkEnd w:id="3"/>
    </w:p>
    <w:p w14:paraId="5AD5A74E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Современные предприятия работают с большим количеством материальных ценностей, поставщиков, единиц измерения и первичных учетных документов. При ручном ведении складского учета возрастает риск ошибок в реквизитах поставщиков, кодах материалов, количестве, цене и итоговой стоимости поступления. Ошибки в таких данных напрямую влияют на управленческие решения, планирование закупок, финансовую отчетность и контроль остатков.</w:t>
      </w:r>
    </w:p>
    <w:p w14:paraId="21FF336D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Актуальность темы определяется необходимостью автоматизации типовых операций складского учета: прихода, расхода, контроля остатков, администрирования пользователей и получения быстрых отчетов по поставщикам и материалам. Веб-приложение позволяет вынести пользовательский интерфейс в браузер, централизовать серверную обработку запросов и хранить данные в реляционной базе, где целостность обеспечивается ограничениями, внешними ключами, процедурами и триггерами.</w:t>
      </w:r>
    </w:p>
    <w:p w14:paraId="5A9D1412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работы: разработка программного продукта назначения программы «Складской учет материалов».</w:t>
      </w:r>
    </w:p>
    <w:p w14:paraId="0C4514D1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достижения поставленной цели необходимо решить следующие задачи:</w:t>
      </w:r>
    </w:p>
    <w:p w14:paraId="4F087E37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1.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провести анализ предметной области складского учета материалов;</w:t>
      </w:r>
    </w:p>
    <w:p w14:paraId="087D0C96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2.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проанализировать аналоги разрабатываемого решения;</w:t>
      </w:r>
    </w:p>
    <w:p w14:paraId="45C86DFD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3.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описать требования к разрабатываемому решению;</w:t>
      </w:r>
    </w:p>
    <w:p w14:paraId="5840A7C0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4.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выбрать инструменты и средства для реализации проекта;</w:t>
      </w:r>
    </w:p>
    <w:p w14:paraId="01256A8D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5.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разработать проект решения, включая структуру системы, данные и основные сценарии;</w:t>
      </w:r>
    </w:p>
    <w:p w14:paraId="3EBA42CA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6.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разработать программный продукт;</w:t>
      </w:r>
    </w:p>
    <w:p w14:paraId="01BD821C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7.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провести функциональное тестирование приложения;</w:t>
      </w:r>
    </w:p>
    <w:p w14:paraId="79D0A6D4">
      <w:pPr>
        <w:widowControl/>
        <w:spacing w:before="0" w:after="0" w:line="360" w:lineRule="auto"/>
        <w:ind w:left="0" w:right="0" w:firstLine="709"/>
        <w:jc w:val="both"/>
      </w:pPr>
      <w:r>
        <w:rPr>
          <w:rFonts w:hint="default" w:ascii="Times New Roman" w:hAnsi="Times New Roman" w:eastAsia="Times New Roman" w:cs="Times New Roman"/>
          <w:b w:val="0"/>
          <w:sz w:val="28"/>
          <w:lang w:val="ru-RU"/>
        </w:rPr>
        <w:t>8.</w:t>
      </w:r>
      <w:r>
        <w:rPr>
          <w:rFonts w:ascii="Times New Roman" w:hAnsi="Times New Roman" w:eastAsia="Times New Roman" w:cs="Times New Roman"/>
          <w:b w:val="0"/>
          <w:sz w:val="28"/>
        </w:rPr>
        <w:t xml:space="preserve"> составить отчет по работе и подготовить материалы к защите.</w:t>
      </w:r>
    </w:p>
    <w:p w14:paraId="31CA6239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Объектом исследования является автоматизация процесса складского учета материалов на предприятии. Предметом исследования является веб-приложение складского учета материалов, реализующее работу со справочниками, приходными и расходными операциями, остатками, поставщиками, отчетами и пользовательским доступом с ролью администратора.</w:t>
      </w:r>
    </w:p>
    <w:p w14:paraId="01F9429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качестве основных методов исследования применены анализ, синтез, сравнение и моделирование. Практическая реализация поставленной задачи соответствует основным подходам к разработке программного обеспечения: разделению ответственности между клиентом, сервером и базой данных, типизации моделей, проверке входных данных и функциональному тестированию.</w:t>
      </w:r>
    </w:p>
    <w:p w14:paraId="28660EB5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Информационной базой исследования являются открытые источники, официальная документация применяемых технологий, материалы курса «Создание программного обеспечения», доступные через систему дистанционного обучения РТУ МИРЭА, а также исходный код разработанного приложения.</w:t>
      </w:r>
    </w:p>
    <w:p w14:paraId="6C56D7AF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данном отчете представлен процесс разработки программного продукта, в том числе теоретический обзор предметной области, анализ аналогов, технологическое проектирование системы, описание программной реализации, результаты тестирования, порядок установки и сопроводительная документация.</w:t>
      </w:r>
    </w:p>
    <w:p w14:paraId="18DFCB6B">
      <w:pPr>
        <w:pStyle w:val="2"/>
        <w:keepNext/>
        <w:pageBreakBefore/>
        <w:spacing w:before="0" w:after="240" w:line="360" w:lineRule="auto"/>
        <w:ind w:left="0" w:right="0" w:firstLine="0"/>
        <w:jc w:val="left"/>
      </w:pPr>
      <w:bookmarkStart w:id="4" w:name="_Toc8983"/>
      <w:bookmarkEnd w:id="4"/>
      <w:bookmarkStart w:id="5" w:name="_Toc29927"/>
      <w:r>
        <w:rPr>
          <w:rFonts w:ascii="Times New Roman" w:hAnsi="Times New Roman" w:eastAsia="Times New Roman" w:cs="Times New Roman"/>
          <w:b/>
          <w:sz w:val="36"/>
        </w:rPr>
        <w:t>1 ТЕОРЕТИЧЕСКАЯ ЧАСТЬ</w:t>
      </w:r>
      <w:bookmarkEnd w:id="5"/>
    </w:p>
    <w:p w14:paraId="2F88E5F7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6" w:name="_Toc18271"/>
      <w:bookmarkStart w:id="7" w:name="_Toc26159"/>
      <w:r>
        <w:rPr>
          <w:rFonts w:ascii="Times New Roman" w:hAnsi="Times New Roman" w:eastAsia="Times New Roman" w:cs="Times New Roman"/>
          <w:b/>
          <w:sz w:val="32"/>
        </w:rPr>
        <w:t>1.1 Анализ предметной области</w:t>
      </w:r>
      <w:bookmarkEnd w:id="6"/>
      <w:bookmarkEnd w:id="7"/>
    </w:p>
    <w:p w14:paraId="25B161A6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Складской учет материалов является частью общего учета материально-производственных запасов организации. В рамках рассматриваемой предметной области фиксируются сведения о материалах, единицах измерения, поставщиках, сопроводительных документах, приходных и расходных операциях. Каждая приходная операция связана с материалом, поставщиком, датой поступления, документом, количеством и ценой, а расходная операция - с направлением отправки, материалом, единицей измерения, количеством и расходным документом.</w:t>
      </w:r>
    </w:p>
    <w:p w14:paraId="3828B334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Ключевая особенность предметной области состоит в большом количестве взаимосвязанных справочников и необходимости контролировать движение материалов. Материал имеет код, код класса, код группы, наименование и счет учета. Поставщик имеет код, наименование, ИНН, юридический адрес, банковский адрес и расчетный счет. Единицы измерения зависят от материала, приходная операция увеличивает остаток, а расходная операция уменьшает доступное количество на складе.</w:t>
      </w:r>
    </w:p>
    <w:p w14:paraId="6075192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При отсутствии автоматизированной системы пользователь вынужден хранить сведения в таблицах или бумажных документах. Такой подход допускает дублирование поставщиков, ошибочные коды материалов, неверное сопоставление единиц измерения и арифметические ошибки при расчете итоговой стоимости. Кроме того, ручная подготовка отчетов по поставщикам выбранного материала требует дополнительных операций фильтрации и группировки.</w:t>
      </w:r>
    </w:p>
    <w:p w14:paraId="0761D548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Разрабатываемое приложение решает указанные проблемы за счет централизованного хранения данных и программной проверки операций. База данных контролирует существование материалов, поставщиков, типов документов и единиц измерения через внешние ключи. Серверная часть дополнительно проверяет бизнес-условия: соответствие счета материала справочнику и невозможность списания количества, превышающего остаток. Клиентская часть предоставляет формы, таблицы, отчеты, раздел расхода и администрирование пользователей, рассчитанные на повседневную работу склада.</w:t>
      </w:r>
    </w:p>
    <w:p w14:paraId="4F9841E8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Основной информационный процесс системы начинается с авторизации пользователя, после чего приложение загружает справочники, список складских приходов, журнал расходов и текущие остатки. Пользователь может найти материал, добавить приходную операцию, оформить расход со склада, получить количество поставщиков выбранного материала, открыть отчет по поставщикам и рассчитать количество поставщиков по банковскому адресу. Администратор дополнительно управляет учетными записями пользователей.</w:t>
      </w:r>
    </w:p>
    <w:p w14:paraId="3D2754EC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8" w:name="_Toc4019"/>
      <w:bookmarkStart w:id="9" w:name="_Toc23664"/>
      <w:r>
        <w:rPr>
          <w:rFonts w:ascii="Times New Roman" w:hAnsi="Times New Roman" w:eastAsia="Times New Roman" w:cs="Times New Roman"/>
          <w:b/>
          <w:sz w:val="32"/>
        </w:rPr>
        <w:t>1.2 Анализ аналогов разрабатываемого решения</w:t>
      </w:r>
      <w:bookmarkEnd w:id="8"/>
      <w:bookmarkEnd w:id="9"/>
    </w:p>
    <w:p w14:paraId="51DAC9C2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автоматизации складского учета применяются как крупные корпоративные системы, так и облачные сервисы и табличные редакторы. Наиболее распространенными вариантами являются внедрение универсальной учетной системы, использование готового облачного сервиса либо ведение данных в электронных таблицах.</w:t>
      </w:r>
    </w:p>
    <w:p w14:paraId="116BE87C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Система «1С:Предприятие» является промышленной платформой для управленческого, бухгалтерского и складского учета, применяется в организациях разного масштаба и имеет множество типовых конфигураций [7]. Ее преимуществами являются развитая функциональность, поддержка регламентированного учета и широкий рынок специалистов. Ограничением для учебного проекта являются избыточность, необходимость настройки конфигурации и зависимость от платформенной экосистемы.</w:t>
      </w:r>
    </w:p>
    <w:p w14:paraId="4FB10221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Сервис «МойСклад» ориентирован на онлайн-управление торговлей, закупками, остатками, документами и поставщиками [8]. Он удобен для малого и среднего бизнеса, быстро запускается и уже содержит типовые бизнес-сценарии. Однако при использовании готового сервиса сложнее продемонстрировать собственное проектирование модели данных, серверной логики, процедур базы данных и клиентского интерфейса.</w:t>
      </w:r>
    </w:p>
    <w:p w14:paraId="5168425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Табличные редакторы, например Microsoft Excel или Google Sheets, доступны и просты в освоении, но плохо подходят для контроля сложных связей между справочниками. В таблицах легко изменить ячейку без проверки ссылочной целостности, ввести произвольную единицу измерения или нарушить правило расчета итоговой суммы. Кроме того, табличный подход затрудняет разграничение доступа и поддержку серверного API.</w:t>
      </w:r>
    </w:p>
    <w:p w14:paraId="742BE01A">
      <w:pPr>
        <w:keepNext/>
        <w:spacing w:before="120" w:after="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i/>
          <w:sz w:val="28"/>
        </w:rPr>
        <w:t>Таблица 1.1 — Сравнение вариантов решения задачи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2040"/>
        <w:gridCol w:w="1928"/>
        <w:gridCol w:w="1928"/>
        <w:gridCol w:w="1928"/>
      </w:tblGrid>
      <w:tr w14:paraId="6C3C9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118BBA7C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Критерий</w:t>
            </w:r>
          </w:p>
        </w:tc>
        <w:tc>
          <w:tcPr>
            <w:tcW w:w="1928" w:type="dxa"/>
            <w:vAlign w:val="center"/>
          </w:tcPr>
          <w:p w14:paraId="100B0E5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1С:Предприятие</w:t>
            </w:r>
          </w:p>
        </w:tc>
        <w:tc>
          <w:tcPr>
            <w:tcW w:w="1928" w:type="dxa"/>
            <w:vAlign w:val="center"/>
          </w:tcPr>
          <w:p w14:paraId="0CF54FD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МойСклад</w:t>
            </w:r>
          </w:p>
        </w:tc>
        <w:tc>
          <w:tcPr>
            <w:tcW w:w="1928" w:type="dxa"/>
            <w:vAlign w:val="center"/>
          </w:tcPr>
          <w:p w14:paraId="28129FF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Табличный редактор</w:t>
            </w:r>
          </w:p>
        </w:tc>
        <w:tc>
          <w:tcPr>
            <w:tcW w:w="1928" w:type="dxa"/>
            <w:vAlign w:val="center"/>
          </w:tcPr>
          <w:p w14:paraId="6292225D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Разрабатываемое приложение</w:t>
            </w:r>
          </w:p>
        </w:tc>
      </w:tr>
      <w:tr w14:paraId="515EC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0B0CBD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Назначение</w:t>
            </w:r>
          </w:p>
        </w:tc>
        <w:tc>
          <w:tcPr>
            <w:tcW w:w="1928" w:type="dxa"/>
            <w:vAlign w:val="center"/>
          </w:tcPr>
          <w:p w14:paraId="55EC3C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Комплексный учет предприятия</w:t>
            </w:r>
          </w:p>
        </w:tc>
        <w:tc>
          <w:tcPr>
            <w:tcW w:w="1928" w:type="dxa"/>
            <w:vAlign w:val="center"/>
          </w:tcPr>
          <w:p w14:paraId="3F54CC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Облачный учет торговли и склада</w:t>
            </w:r>
          </w:p>
        </w:tc>
        <w:tc>
          <w:tcPr>
            <w:tcW w:w="1928" w:type="dxa"/>
            <w:vAlign w:val="center"/>
          </w:tcPr>
          <w:p w14:paraId="42B47D4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Ручное хранение таблиц</w:t>
            </w:r>
          </w:p>
        </w:tc>
        <w:tc>
          <w:tcPr>
            <w:tcW w:w="1928" w:type="dxa"/>
            <w:vAlign w:val="center"/>
          </w:tcPr>
          <w:p w14:paraId="4F7CBFF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Учебная система под заданную предметную модель</w:t>
            </w:r>
          </w:p>
        </w:tc>
      </w:tr>
      <w:tr w14:paraId="05B25C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7DE7F7A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Гибкость модели данных</w:t>
            </w:r>
          </w:p>
        </w:tc>
        <w:tc>
          <w:tcPr>
            <w:tcW w:w="1928" w:type="dxa"/>
            <w:vAlign w:val="center"/>
          </w:tcPr>
          <w:p w14:paraId="521D922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Высокая, но требует настройки</w:t>
            </w:r>
          </w:p>
        </w:tc>
        <w:tc>
          <w:tcPr>
            <w:tcW w:w="1928" w:type="dxa"/>
            <w:vAlign w:val="center"/>
          </w:tcPr>
          <w:p w14:paraId="728A40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Ограничена возможностями сервиса</w:t>
            </w:r>
          </w:p>
        </w:tc>
        <w:tc>
          <w:tcPr>
            <w:tcW w:w="1928" w:type="dxa"/>
            <w:vAlign w:val="center"/>
          </w:tcPr>
          <w:p w14:paraId="535DC3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Формально свободная, но без строгих связей</w:t>
            </w:r>
          </w:p>
        </w:tc>
        <w:tc>
          <w:tcPr>
            <w:tcW w:w="1928" w:type="dxa"/>
            <w:vAlign w:val="center"/>
          </w:tcPr>
          <w:p w14:paraId="2AF2788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Полностью соответствует заданию проекта</w:t>
            </w:r>
          </w:p>
        </w:tc>
      </w:tr>
      <w:tr w14:paraId="5BC51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2BCD379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Контроль целостности</w:t>
            </w:r>
          </w:p>
        </w:tc>
        <w:tc>
          <w:tcPr>
            <w:tcW w:w="1928" w:type="dxa"/>
            <w:vAlign w:val="center"/>
          </w:tcPr>
          <w:p w14:paraId="3F6733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Реализуется платформой</w:t>
            </w:r>
          </w:p>
        </w:tc>
        <w:tc>
          <w:tcPr>
            <w:tcW w:w="1928" w:type="dxa"/>
            <w:vAlign w:val="center"/>
          </w:tcPr>
          <w:p w14:paraId="182C323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Реализуется сервисом</w:t>
            </w:r>
          </w:p>
        </w:tc>
        <w:tc>
          <w:tcPr>
            <w:tcW w:w="1928" w:type="dxa"/>
            <w:vAlign w:val="center"/>
          </w:tcPr>
          <w:p w14:paraId="291FD94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Зависит от дисциплины пользователя</w:t>
            </w:r>
          </w:p>
        </w:tc>
        <w:tc>
          <w:tcPr>
            <w:tcW w:w="1928" w:type="dxa"/>
            <w:vAlign w:val="center"/>
          </w:tcPr>
          <w:p w14:paraId="1FEFA63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Внешние ключи, проверки, процедура и триггеры PostgreSQL</w:t>
            </w:r>
          </w:p>
        </w:tc>
      </w:tr>
      <w:tr w14:paraId="4D527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4BC28A6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Демонстрация разработки</w:t>
            </w:r>
          </w:p>
        </w:tc>
        <w:tc>
          <w:tcPr>
            <w:tcW w:w="1928" w:type="dxa"/>
            <w:vAlign w:val="center"/>
          </w:tcPr>
          <w:p w14:paraId="78303F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Скрыта за платформой</w:t>
            </w:r>
          </w:p>
        </w:tc>
        <w:tc>
          <w:tcPr>
            <w:tcW w:w="1928" w:type="dxa"/>
            <w:vAlign w:val="center"/>
          </w:tcPr>
          <w:p w14:paraId="46EC9DD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Скрыта за готовым сервисом</w:t>
            </w:r>
          </w:p>
        </w:tc>
        <w:tc>
          <w:tcPr>
            <w:tcW w:w="1928" w:type="dxa"/>
            <w:vAlign w:val="center"/>
          </w:tcPr>
          <w:p w14:paraId="51C4AC2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Не показывает серверную архитектуру</w:t>
            </w:r>
          </w:p>
        </w:tc>
        <w:tc>
          <w:tcPr>
            <w:tcW w:w="1928" w:type="dxa"/>
            <w:vAlign w:val="center"/>
          </w:tcPr>
          <w:p w14:paraId="2D4A35F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Показывает клиент, API, репозиторий и базу данных</w:t>
            </w:r>
          </w:p>
        </w:tc>
      </w:tr>
      <w:tr w14:paraId="5494A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3E955D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Вывод</w:t>
            </w:r>
          </w:p>
        </w:tc>
        <w:tc>
          <w:tcPr>
            <w:tcW w:w="1928" w:type="dxa"/>
            <w:vAlign w:val="center"/>
          </w:tcPr>
          <w:p w14:paraId="5355B8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Подходит для промышленного внедрения</w:t>
            </w:r>
          </w:p>
        </w:tc>
        <w:tc>
          <w:tcPr>
            <w:tcW w:w="1928" w:type="dxa"/>
            <w:vAlign w:val="center"/>
          </w:tcPr>
          <w:p w14:paraId="7E8F648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Подходит для быстрого запуска бизнеса</w:t>
            </w:r>
          </w:p>
        </w:tc>
        <w:tc>
          <w:tcPr>
            <w:tcW w:w="1928" w:type="dxa"/>
            <w:vAlign w:val="center"/>
          </w:tcPr>
          <w:p w14:paraId="5271873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Подходит только для простого учета</w:t>
            </w:r>
          </w:p>
        </w:tc>
        <w:tc>
          <w:tcPr>
            <w:tcW w:w="1928" w:type="dxa"/>
            <w:vAlign w:val="center"/>
          </w:tcPr>
          <w:p w14:paraId="67E799F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Целесообразно для курсового проекта</w:t>
            </w:r>
          </w:p>
        </w:tc>
      </w:tr>
    </w:tbl>
    <w:p w14:paraId="2217682F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Итогом анализа является вывод о необходимости разработки собственного решения. Такой вариант позволяет реализовать именно те процессы, которые требуются в проекте: авторизацию сотрудника, роль администратора, справочники материалов и поставщиков, добавление складского прихода, оформление расхода со склада, расчет остатков, отчет по поставщикам материала и расчет количества поставщиков по банковскому адресу.</w:t>
      </w:r>
    </w:p>
    <w:p w14:paraId="24ED057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Для визуального сравнения аналогов были рассмотрены официальные страницы и интерфейсные фрагменты распространенных решений, применяемых для складского и товарного учета. Ниже приведены скриншоты конкурирующих систем и сервисов.</w:t>
      </w:r>
    </w:p>
    <w:p w14:paraId="6BCA1EAA"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drawing>
          <wp:inline distT="0" distB="0" distL="114300" distR="114300">
            <wp:extent cx="5669280" cy="37795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D0C0B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1.1 — Страница сервиса «МойСклад» для складского учета</w:t>
      </w:r>
    </w:p>
    <w:p w14:paraId="30ACDD76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Источник: https://www.moysklad.ru/reshenija/uchet-tovarov/</w:t>
      </w:r>
    </w:p>
    <w:p w14:paraId="217D7289"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drawing>
          <wp:inline distT="0" distB="0" distL="114300" distR="114300">
            <wp:extent cx="5669280" cy="2745105"/>
            <wp:effectExtent l="0" t="0" r="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4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17C30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1.2 — Фрагмент интерфейса «1С:Управление торговлей 8»</w:t>
      </w:r>
    </w:p>
    <w:p w14:paraId="7CDE54A1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Источник: https://v8.1c.ru/trade/upravlenie-skladom-i-zapasami/</w:t>
      </w:r>
    </w:p>
    <w:p w14:paraId="7A7E7930"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drawing>
          <wp:inline distT="0" distB="0" distL="114300" distR="114300">
            <wp:extent cx="5669280" cy="3779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42B4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1.3 — Страница Saby Retail для автоматизации магазина</w:t>
      </w:r>
    </w:p>
    <w:p w14:paraId="44B87906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Источник: https://saby.ru/retail</w:t>
      </w:r>
    </w:p>
    <w:p w14:paraId="2141E2D3">
      <w:pPr>
        <w:spacing w:before="0" w:after="0"/>
        <w:ind w:firstLine="0"/>
        <w:jc w:val="center"/>
      </w:pPr>
      <w:r>
        <w:rPr>
          <w:rFonts w:ascii="Times New Roman" w:hAnsi="Times New Roman" w:eastAsia="Times New Roman" w:cs="Times New Roman"/>
          <w:sz w:val="28"/>
        </w:rPr>
        <w:drawing>
          <wp:inline distT="0" distB="0" distL="114300" distR="114300">
            <wp:extent cx="5669280" cy="377952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0836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1.4 — Страница сервиса «Контур.Маркет»</w:t>
      </w:r>
    </w:p>
    <w:p w14:paraId="3330A014">
      <w:pPr>
        <w:spacing w:before="0" w:after="120" w:line="240" w:lineRule="auto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Источник: https://i.vkontur.ru/market</w:t>
      </w:r>
    </w:p>
    <w:p w14:paraId="2D015A8B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10" w:name="_Toc2834"/>
      <w:bookmarkStart w:id="11" w:name="_Toc24229"/>
      <w:r>
        <w:rPr>
          <w:rFonts w:ascii="Times New Roman" w:hAnsi="Times New Roman" w:eastAsia="Times New Roman" w:cs="Times New Roman"/>
          <w:b/>
          <w:sz w:val="32"/>
        </w:rPr>
        <w:t>1.3 Описание требований к разрабатываемому решению</w:t>
      </w:r>
      <w:bookmarkEnd w:id="10"/>
      <w:bookmarkEnd w:id="11"/>
    </w:p>
    <w:p w14:paraId="24FE14DF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Требования к системе сформированы на основе анализа предметной области и возможностей реализованного программного продукта. Они разделены на функциональные, нефункциональные и требования к данным.</w:t>
      </w:r>
    </w:p>
    <w:p w14:paraId="7D0E9904">
      <w:pPr>
        <w:keepNext/>
        <w:spacing w:before="120" w:after="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i/>
          <w:sz w:val="28"/>
        </w:rPr>
        <w:t>Таблица 1.2 — Требования к разрабатываемому решению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3"/>
      </w:tblGrid>
      <w:tr w14:paraId="3D17A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260544B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Номер</w:t>
            </w:r>
          </w:p>
        </w:tc>
        <w:tc>
          <w:tcPr>
            <w:tcW w:w="3213" w:type="dxa"/>
            <w:vAlign w:val="center"/>
          </w:tcPr>
          <w:p w14:paraId="08CA8CF0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3213" w:type="dxa"/>
            <w:vAlign w:val="center"/>
          </w:tcPr>
          <w:p w14:paraId="03FBBC5E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Описание реализации</w:t>
            </w:r>
          </w:p>
        </w:tc>
      </w:tr>
      <w:tr w14:paraId="7FA39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499A3C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w="3213" w:type="dxa"/>
            <w:vAlign w:val="center"/>
          </w:tcPr>
          <w:p w14:paraId="1BCF241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Авторизация пользователя</w:t>
            </w:r>
          </w:p>
        </w:tc>
        <w:tc>
          <w:tcPr>
            <w:tcW w:w="3213" w:type="dxa"/>
            <w:vAlign w:val="center"/>
          </w:tcPr>
          <w:p w14:paraId="272EB3C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Пользователь должен войти по почте и паролю либо зарегистрироваться по коду приглашения; администратор должен иметь расширенный доступ к управлению пользователями.</w:t>
            </w:r>
          </w:p>
        </w:tc>
      </w:tr>
      <w:tr w14:paraId="3A971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3EC50F0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</w:t>
            </w:r>
          </w:p>
        </w:tc>
        <w:tc>
          <w:tcPr>
            <w:tcW w:w="3213" w:type="dxa"/>
            <w:vAlign w:val="center"/>
          </w:tcPr>
          <w:p w14:paraId="54506AD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Просмотр материалов</w:t>
            </w:r>
          </w:p>
        </w:tc>
        <w:tc>
          <w:tcPr>
            <w:tcW w:w="3213" w:type="dxa"/>
            <w:vAlign w:val="center"/>
          </w:tcPr>
          <w:p w14:paraId="0CD75A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должна отображать справочник материалов с кодом, классом, группой, названием и счетом.</w:t>
            </w:r>
          </w:p>
        </w:tc>
      </w:tr>
      <w:tr w14:paraId="0FF40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5CA282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</w:t>
            </w:r>
          </w:p>
        </w:tc>
        <w:tc>
          <w:tcPr>
            <w:tcW w:w="3213" w:type="dxa"/>
            <w:vAlign w:val="center"/>
          </w:tcPr>
          <w:p w14:paraId="127BEB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Поиск материалов</w:t>
            </w:r>
          </w:p>
        </w:tc>
        <w:tc>
          <w:tcPr>
            <w:tcW w:w="3213" w:type="dxa"/>
            <w:vAlign w:val="center"/>
          </w:tcPr>
          <w:p w14:paraId="53D7597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Интерфейс должен поддерживать поиск по коду, названию, классу, группе и счету материала.</w:t>
            </w:r>
          </w:p>
        </w:tc>
      </w:tr>
      <w:tr w14:paraId="16C2A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2837DD9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4</w:t>
            </w:r>
          </w:p>
        </w:tc>
        <w:tc>
          <w:tcPr>
            <w:tcW w:w="3213" w:type="dxa"/>
            <w:vAlign w:val="center"/>
          </w:tcPr>
          <w:p w14:paraId="0B0B6B4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Просмотр поставщиков</w:t>
            </w:r>
          </w:p>
        </w:tc>
        <w:tc>
          <w:tcPr>
            <w:tcW w:w="3213" w:type="dxa"/>
            <w:vAlign w:val="center"/>
          </w:tcPr>
          <w:p w14:paraId="13E096D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должна хранить и отображать поставщиков с ИНН, юридическим адресом, банковским адресом и счетом.</w:t>
            </w:r>
          </w:p>
        </w:tc>
      </w:tr>
      <w:tr w14:paraId="5409B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57B1EF5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</w:t>
            </w:r>
          </w:p>
        </w:tc>
        <w:tc>
          <w:tcPr>
            <w:tcW w:w="3213" w:type="dxa"/>
            <w:vAlign w:val="center"/>
          </w:tcPr>
          <w:p w14:paraId="60F3778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Добавление единицы хранения</w:t>
            </w:r>
          </w:p>
        </w:tc>
        <w:tc>
          <w:tcPr>
            <w:tcW w:w="3213" w:type="dxa"/>
            <w:vAlign w:val="center"/>
          </w:tcPr>
          <w:p w14:paraId="60D9348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Пользователь должен ввести номер ордера, дату, поставщика, документ, материал, единицу измерения, количество и цену.</w:t>
            </w:r>
          </w:p>
        </w:tc>
      </w:tr>
      <w:tr w14:paraId="6A49B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7B417F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6</w:t>
            </w:r>
          </w:p>
        </w:tc>
        <w:tc>
          <w:tcPr>
            <w:tcW w:w="3213" w:type="dxa"/>
            <w:vAlign w:val="center"/>
          </w:tcPr>
          <w:p w14:paraId="28A0CFB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Расчет итоговой стоимости</w:t>
            </w:r>
          </w:p>
        </w:tc>
        <w:tc>
          <w:tcPr>
            <w:tcW w:w="3213" w:type="dxa"/>
            <w:vAlign w:val="center"/>
          </w:tcPr>
          <w:p w14:paraId="1CA484C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Итоговая стоимость должна рассчитываться как произведение количества и цены единицы.</w:t>
            </w:r>
          </w:p>
        </w:tc>
      </w:tr>
      <w:tr w14:paraId="23E5C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1FA1D4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7</w:t>
            </w:r>
          </w:p>
        </w:tc>
        <w:tc>
          <w:tcPr>
            <w:tcW w:w="3213" w:type="dxa"/>
            <w:vAlign w:val="center"/>
          </w:tcPr>
          <w:p w14:paraId="6A6FA4D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Проверка справочников</w:t>
            </w:r>
          </w:p>
        </w:tc>
        <w:tc>
          <w:tcPr>
            <w:tcW w:w="3213" w:type="dxa"/>
            <w:vAlign w:val="center"/>
          </w:tcPr>
          <w:p w14:paraId="772392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должна отклонять приход с неизвестным поставщиком, материалом, документом или единицей измерения.</w:t>
            </w:r>
          </w:p>
        </w:tc>
      </w:tr>
      <w:tr w14:paraId="6F5E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51D8CD6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8</w:t>
            </w:r>
          </w:p>
        </w:tc>
        <w:tc>
          <w:tcPr>
            <w:tcW w:w="3213" w:type="dxa"/>
            <w:vAlign w:val="center"/>
          </w:tcPr>
          <w:p w14:paraId="7001E35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Контроль остатка при расходе</w:t>
            </w:r>
          </w:p>
        </w:tc>
        <w:tc>
          <w:tcPr>
            <w:tcW w:w="3213" w:type="dxa"/>
            <w:vAlign w:val="center"/>
          </w:tcPr>
          <w:p w14:paraId="092FAEA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Счет материала в приходе должен соответствовать счету из справочника материалов; расход не должен превышать доступный остаток.</w:t>
            </w:r>
          </w:p>
        </w:tc>
      </w:tr>
      <w:tr w14:paraId="6533C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5F87F62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9</w:t>
            </w:r>
          </w:p>
        </w:tc>
        <w:tc>
          <w:tcPr>
            <w:tcW w:w="3213" w:type="dxa"/>
            <w:vAlign w:val="center"/>
          </w:tcPr>
          <w:p w14:paraId="2E3FB7E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Отчет по материалу</w:t>
            </w:r>
          </w:p>
        </w:tc>
        <w:tc>
          <w:tcPr>
            <w:tcW w:w="3213" w:type="dxa"/>
            <w:vAlign w:val="center"/>
          </w:tcPr>
          <w:p w14:paraId="55A7670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должна показывать список поставщиков выбранного материала, суммарное количество и сумму поставок.</w:t>
            </w:r>
          </w:p>
        </w:tc>
      </w:tr>
      <w:tr w14:paraId="232B6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0B8691F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w="3213" w:type="dxa"/>
            <w:vAlign w:val="center"/>
          </w:tcPr>
          <w:p w14:paraId="15925EB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Расчет по банковскому адресу</w:t>
            </w:r>
          </w:p>
        </w:tc>
        <w:tc>
          <w:tcPr>
            <w:tcW w:w="3213" w:type="dxa"/>
            <w:vAlign w:val="center"/>
          </w:tcPr>
          <w:p w14:paraId="56ECE9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должна считать количество поставщиков, имеющих заданный банковский адрес.</w:t>
            </w:r>
          </w:p>
        </w:tc>
      </w:tr>
      <w:tr w14:paraId="42100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759352B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11</w:t>
            </w:r>
          </w:p>
        </w:tc>
        <w:tc>
          <w:tcPr>
            <w:tcW w:w="3213" w:type="dxa"/>
            <w:vAlign w:val="center"/>
          </w:tcPr>
          <w:p w14:paraId="6B9331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Адаптивный интерфейс</w:t>
            </w:r>
          </w:p>
        </w:tc>
        <w:tc>
          <w:tcPr>
            <w:tcW w:w="3213" w:type="dxa"/>
            <w:vAlign w:val="center"/>
          </w:tcPr>
          <w:p w14:paraId="7A9F582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Приложение должно корректно отображаться на экранах разной ширины.</w:t>
            </w:r>
          </w:p>
        </w:tc>
      </w:tr>
      <w:tr w14:paraId="5970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0B81102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12</w:t>
            </w:r>
          </w:p>
        </w:tc>
        <w:tc>
          <w:tcPr>
            <w:tcW w:w="3213" w:type="dxa"/>
            <w:vAlign w:val="center"/>
          </w:tcPr>
          <w:p w14:paraId="37669BA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Темная и светлая тема</w:t>
            </w:r>
          </w:p>
        </w:tc>
        <w:tc>
          <w:tcPr>
            <w:tcW w:w="3213" w:type="dxa"/>
            <w:vAlign w:val="center"/>
          </w:tcPr>
          <w:p w14:paraId="45161F1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Пользователь должен иметь возможность переключать визуальную тему интерфейса.</w:t>
            </w:r>
          </w:p>
        </w:tc>
      </w:tr>
      <w:tr w14:paraId="1E69BE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5BBFDA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13</w:t>
            </w:r>
          </w:p>
        </w:tc>
        <w:tc>
          <w:tcPr>
            <w:tcW w:w="3213" w:type="dxa"/>
            <w:vAlign w:val="center"/>
          </w:tcPr>
          <w:p w14:paraId="35A2AFD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Разделение клиентской и серверной части</w:t>
            </w:r>
          </w:p>
        </w:tc>
        <w:tc>
          <w:tcPr>
            <w:tcW w:w="3213" w:type="dxa"/>
            <w:vAlign w:val="center"/>
          </w:tcPr>
          <w:p w14:paraId="6C10998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Клиент должен взаимодействовать с сервером через REST API.</w:t>
            </w:r>
          </w:p>
        </w:tc>
      </w:tr>
      <w:tr w14:paraId="3E094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0F131B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14</w:t>
            </w:r>
          </w:p>
        </w:tc>
        <w:tc>
          <w:tcPr>
            <w:tcW w:w="3213" w:type="dxa"/>
            <w:vAlign w:val="center"/>
          </w:tcPr>
          <w:p w14:paraId="5D9B71B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Постоянное хранение данных</w:t>
            </w:r>
          </w:p>
        </w:tc>
        <w:tc>
          <w:tcPr>
            <w:tcW w:w="3213" w:type="dxa"/>
            <w:vAlign w:val="center"/>
          </w:tcPr>
          <w:p w14:paraId="25F3990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При наличии строки подключения данные должны храниться в PostgreSQL.</w:t>
            </w:r>
          </w:p>
        </w:tc>
      </w:tr>
    </w:tbl>
    <w:p w14:paraId="0A00C4E6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Нефункциональные требования включают понятность интерфейса, контролируемую обработку ошибок, расширяемость серверной архитектуры, переносимость клиентской части и возможность запуска проекта одной командой из корневой папки. Требования к данным предполагают уникальность кодов справочников, положительные значения количества и цены, наличие связей между приходами, расходами, материалами, поставщиками, типами документов и единицами измерения, а также контроль невозможности отрицательного остатка.</w:t>
      </w:r>
    </w:p>
    <w:p w14:paraId="3E3D691A">
      <w:pPr>
        <w:pStyle w:val="2"/>
        <w:keepNext/>
        <w:pageBreakBefore/>
        <w:spacing w:before="0" w:after="240" w:line="360" w:lineRule="auto"/>
        <w:ind w:left="0" w:right="0" w:firstLine="0"/>
        <w:jc w:val="left"/>
      </w:pPr>
      <w:bookmarkStart w:id="12" w:name="_Toc25521"/>
      <w:bookmarkEnd w:id="12"/>
      <w:bookmarkStart w:id="13" w:name="_Toc15334"/>
      <w:r>
        <w:rPr>
          <w:rFonts w:ascii="Times New Roman" w:hAnsi="Times New Roman" w:eastAsia="Times New Roman" w:cs="Times New Roman"/>
          <w:b/>
          <w:sz w:val="36"/>
        </w:rPr>
        <w:t>2 ТЕХНОЛОГИЧЕСКАЯ ЧАСТЬ</w:t>
      </w:r>
      <w:bookmarkEnd w:id="13"/>
    </w:p>
    <w:p w14:paraId="613F9CB9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14" w:name="_Toc24686"/>
      <w:bookmarkStart w:id="15" w:name="_Toc466"/>
      <w:r>
        <w:rPr>
          <w:rFonts w:ascii="Times New Roman" w:hAnsi="Times New Roman" w:eastAsia="Times New Roman" w:cs="Times New Roman"/>
          <w:b/>
          <w:sz w:val="32"/>
        </w:rPr>
        <w:t>2.1 Выбор инструментов и/или средств для реализации проекта</w:t>
      </w:r>
      <w:bookmarkEnd w:id="14"/>
      <w:bookmarkEnd w:id="15"/>
    </w:p>
    <w:p w14:paraId="083846D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проекте использована клиент-серверная архитектура: браузерное приложение отвечает за пользовательский интерфейс, серверное API реализует обработку запросов, а база данных хранит справочники, приходные операции, расходные операции и сведения для расчета остатков. Такой подход соответствует характеру предметной области, поскольку складские данные должны быть централизованы и доступны нескольким рабочим местам.</w:t>
      </w:r>
    </w:p>
    <w:p w14:paraId="5D1E64FE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серверной части выбран ASP.NET Core. Данная платформа поддерживает создание Web API на основе контроллеров, маршрутизацию HTTP-запросов, middleware-конвейер, встроенные механизмы аутентификации и авторизации, а также генерацию OpenAPI-описания в режиме разработки [1]. В проекте сервер реализован на C# и .NET, что обеспечивает строгую типизацию моделей и удобную обработку бизнес-ошибок.</w:t>
      </w:r>
    </w:p>
    <w:p w14:paraId="7961C89D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клиентской части выбран React. Компонентная модель React хорошо подходит для интерфейса, состоящего из форм, таблиц, отчетов, переключателей состояния и динамической загрузки данных. В приложении используются хуки useState, useEffect и useMemo, что соответствует официальным правилам разработки на React [2].</w:t>
      </w:r>
    </w:p>
    <w:p w14:paraId="7BB596CD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хранения данных выбрана PostgreSQL. СУБД поддерживает реляционную модель, внешние ключи, ограничения CHECK, вычисляемые столбцы, SQL-функции, процедуры и триггеры [3]. Эти возможности важны для складского учета, поскольку позволяют проверять связи между справочниками, приходными и расходными операциями на уровне базы данных, а также контролировать остатки материалов.</w:t>
      </w:r>
    </w:p>
    <w:p w14:paraId="66B2B01F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сборки клиентского приложения используется Vite, так как он обеспечивает быстрый запуск dev-сервера и современную сборку frontend-проекта [4]. Для взаимодействия ASP.NET Core с PostgreSQL используется Npgsql, официальный провайдер доступа к PostgreSQL для .NET [5]. Типизация клиентского кода выполнена с использованием TypeScript, что снижает риск ошибок при работе с объектами материалов, поставщиков и приходов [6].</w:t>
      </w:r>
    </w:p>
    <w:p w14:paraId="26FEC720">
      <w:pPr>
        <w:keepNext/>
        <w:spacing w:before="120" w:after="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i/>
          <w:sz w:val="28"/>
        </w:rPr>
        <w:t>Таблица 2.1 — Выбранные инструменты разработки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3"/>
        <w:gridCol w:w="3213"/>
        <w:gridCol w:w="3213"/>
      </w:tblGrid>
      <w:tr w14:paraId="78864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3" w:type="dxa"/>
            <w:vAlign w:val="center"/>
          </w:tcPr>
          <w:p w14:paraId="2A9F24C6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Компонент</w:t>
            </w:r>
          </w:p>
        </w:tc>
        <w:tc>
          <w:tcPr>
            <w:tcW w:w="3213" w:type="dxa"/>
            <w:vAlign w:val="center"/>
          </w:tcPr>
          <w:p w14:paraId="6C38328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Выбранное средство</w:t>
            </w:r>
          </w:p>
        </w:tc>
        <w:tc>
          <w:tcPr>
            <w:tcW w:w="3213" w:type="dxa"/>
            <w:vAlign w:val="center"/>
          </w:tcPr>
          <w:p w14:paraId="4F7529A1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Причина выбора</w:t>
            </w:r>
          </w:p>
        </w:tc>
      </w:tr>
      <w:tr w14:paraId="4B057D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15527A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Серверная часть</w:t>
            </w:r>
          </w:p>
        </w:tc>
        <w:tc>
          <w:tcPr>
            <w:tcW w:w="3213" w:type="dxa"/>
            <w:vAlign w:val="center"/>
          </w:tcPr>
          <w:p w14:paraId="7A9CD9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ASP.NET Core, C#</w:t>
            </w:r>
          </w:p>
        </w:tc>
        <w:tc>
          <w:tcPr>
            <w:tcW w:w="3213" w:type="dxa"/>
            <w:vAlign w:val="center"/>
          </w:tcPr>
          <w:p w14:paraId="5624A64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Типизированные контроллеры, middleware, OpenAPI, удобная интеграция с авторизацией.</w:t>
            </w:r>
          </w:p>
        </w:tc>
      </w:tr>
      <w:tr w14:paraId="20834F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1D00BC3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Клиентская часть</w:t>
            </w:r>
          </w:p>
        </w:tc>
        <w:tc>
          <w:tcPr>
            <w:tcW w:w="3213" w:type="dxa"/>
            <w:vAlign w:val="center"/>
          </w:tcPr>
          <w:p w14:paraId="7DC0CC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React, TypeScript</w:t>
            </w:r>
          </w:p>
        </w:tc>
        <w:tc>
          <w:tcPr>
            <w:tcW w:w="3213" w:type="dxa"/>
            <w:vAlign w:val="center"/>
          </w:tcPr>
          <w:p w14:paraId="2C31B13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Компонентный интерфейс, хуки состояния, строгие типы для данных API.</w:t>
            </w:r>
          </w:p>
        </w:tc>
      </w:tr>
      <w:tr w14:paraId="12230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20520AA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Сборка клиента</w:t>
            </w:r>
          </w:p>
        </w:tc>
        <w:tc>
          <w:tcPr>
            <w:tcW w:w="3213" w:type="dxa"/>
            <w:vAlign w:val="center"/>
          </w:tcPr>
          <w:p w14:paraId="4252BA0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Vite</w:t>
            </w:r>
          </w:p>
        </w:tc>
        <w:tc>
          <w:tcPr>
            <w:tcW w:w="3213" w:type="dxa"/>
            <w:vAlign w:val="center"/>
          </w:tcPr>
          <w:p w14:paraId="1E6DD96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Быстрый локальный запуск, современная сборка и поддержка React.</w:t>
            </w:r>
          </w:p>
        </w:tc>
      </w:tr>
      <w:tr w14:paraId="5A380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799B306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База данных</w:t>
            </w:r>
          </w:p>
        </w:tc>
        <w:tc>
          <w:tcPr>
            <w:tcW w:w="3213" w:type="dxa"/>
            <w:vAlign w:val="center"/>
          </w:tcPr>
          <w:p w14:paraId="5F300E5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PostgreSQL</w:t>
            </w:r>
          </w:p>
        </w:tc>
        <w:tc>
          <w:tcPr>
            <w:tcW w:w="3213" w:type="dxa"/>
            <w:vAlign w:val="center"/>
          </w:tcPr>
          <w:p w14:paraId="3DA7219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Связанные таблицы, ограничения, функции, процедура и триггеры.</w:t>
            </w:r>
          </w:p>
        </w:tc>
      </w:tr>
      <w:tr w14:paraId="79A9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0139F25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Доступ к БД</w:t>
            </w:r>
          </w:p>
        </w:tc>
        <w:tc>
          <w:tcPr>
            <w:tcW w:w="3213" w:type="dxa"/>
            <w:vAlign w:val="center"/>
          </w:tcPr>
          <w:p w14:paraId="35FCB8A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Npgsql</w:t>
            </w:r>
          </w:p>
        </w:tc>
        <w:tc>
          <w:tcPr>
            <w:tcW w:w="3213" w:type="dxa"/>
            <w:vAlign w:val="center"/>
          </w:tcPr>
          <w:p w14:paraId="2E6A182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Провайдер PostgreSQL для .NET и параметризованные SQL-команды.</w:t>
            </w:r>
          </w:p>
        </w:tc>
      </w:tr>
      <w:tr w14:paraId="45506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3" w:type="dxa"/>
            <w:vAlign w:val="center"/>
          </w:tcPr>
          <w:p w14:paraId="580D9812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Запуск проекта</w:t>
            </w:r>
          </w:p>
        </w:tc>
        <w:tc>
          <w:tcPr>
            <w:tcW w:w="3213" w:type="dxa"/>
            <w:vAlign w:val="center"/>
          </w:tcPr>
          <w:p w14:paraId="1EDD941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PowerShell, npm, dotnet CLI</w:t>
            </w:r>
          </w:p>
        </w:tc>
        <w:tc>
          <w:tcPr>
            <w:tcW w:w="3213" w:type="dxa"/>
            <w:vAlign w:val="center"/>
          </w:tcPr>
          <w:p w14:paraId="2EC1796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Единая команда запуска клиента и API из корневой папки.</w:t>
            </w:r>
          </w:p>
        </w:tc>
      </w:tr>
    </w:tbl>
    <w:p w14:paraId="50BC0A70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16" w:name="_Toc22226"/>
      <w:bookmarkStart w:id="17" w:name="_Toc17980"/>
      <w:r>
        <w:rPr>
          <w:rFonts w:ascii="Times New Roman" w:hAnsi="Times New Roman" w:eastAsia="Times New Roman" w:cs="Times New Roman"/>
          <w:b/>
          <w:sz w:val="32"/>
        </w:rPr>
        <w:t>2.2 Разработка проекта решения</w:t>
      </w:r>
      <w:bookmarkEnd w:id="16"/>
      <w:bookmarkEnd w:id="17"/>
    </w:p>
    <w:p w14:paraId="70A591DB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Проект решения построен по слоистой схеме. Клиентская часть отображает интерфейс и отправляет HTTP-запросы. Серверная часть принимает запросы через контроллеры, проверяет авторизацию, передает операции в репозиторий и возвращает JSON-ответы. Репозиторий скрывает детали хранения данных и может работать либо с PostgreSQL, либо с резервной in-memory реализацией при отсутствии строки подключения.</w:t>
      </w:r>
      <w:r>
        <w:rPr>
          <w:rFonts w:ascii="Times New Roman" w:hAnsi="Times New Roman" w:eastAsia="Times New Roman"/>
          <w:b w:val="0"/>
          <w:sz w:val="28"/>
        </w:rPr>
        <w:t xml:space="preserve"> Такой подход соответствует практике анализа архитектурных решений и их компромиссов [13].</w:t>
      </w:r>
    </w:p>
    <w:p w14:paraId="36978DDB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Серверное приложение состоит из нескольких основных частей: Program.cs настраивает сервисы, CORS, OpenAPI, аутентификацию и выбор репозитория; AuthController обрабатывает вход, регистрацию, получение текущего пользователя и администрирование учетных записей; WarehouseController предоставляет операции складского учета; модели из WarehouseModels.cs описывают материалы, поставщиков, адреса, документы, единицы измерения, приходы, расходы, остатки и ответы авторизации.</w:t>
      </w:r>
    </w:p>
    <w:p w14:paraId="4A7AC3D7"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Таблица 2.2 — Основные маршруты API складской системы</w:t>
      </w:r>
    </w:p>
    <w:tbl>
      <w:tblPr>
        <w:tblStyle w:val="20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№</w:t>
            </w:r>
          </w:p>
        </w:tc>
        <w:tc>
          <w:tcPr>
            <w:tcW w:type="dxa" w:w="85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Метод</w:t>
            </w:r>
          </w:p>
        </w:tc>
        <w:tc>
          <w:tcPr>
            <w:tcW w:type="dxa" w:w="328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Маршрут</w:t>
            </w:r>
          </w:p>
        </w:tc>
        <w:tc>
          <w:tcPr>
            <w:tcW w:type="dxa" w:w="2948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Доступ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/api/warehouse/materials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справочника материалов.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/api/warehouse/suppliers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справочника поставщиков.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/api/warehouse/documents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типов складских документов.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/api/warehouse/measurement-units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единиц измерения материалов.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/api/warehouse/storage-units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Просмотр журнала приходных операций.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/api/warehouse/storage-units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Добавление записи прихода материала.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/api/warehouse/shipments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Просмотр журнала расходных операций.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/api/warehouse/shipments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Оформление расхода материала со склада.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/api/warehouse/stock-balances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текущих остатков по материалам.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/api/warehouse/materials/{materialCode}/supplier-count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Подсчет поставщиков выбранного материала.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/api/warehouse/materials/{materialCode}/suppliers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Формирование списка поставщиков выбранного материала.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  <w:tr>
        <w:tc>
          <w:tcPr>
            <w:tcW w:type="dxa" w:w="51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8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/api/warehouse/suppliers/bank-address-count</w:t>
            </w:r>
          </w:p>
        </w:tc>
        <w:tc>
          <w:tcPr>
            <w:tcW w:type="dxa" w:w="2948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Подсчет поставщиков по банковскому адресу.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Авторизованный пользователь</w:t>
            </w:r>
          </w:p>
        </w:tc>
      </w:tr>
    </w:tbl>
    <w:p>
      <w:pPr>
        <w:jc w:val="both"/>
      </w:pPr>
      <w:r>
        <w:rPr>
          <w:rFonts w:ascii="Times New Roman" w:hAnsi="Times New Roman" w:eastAsia="Times New Roman"/>
          <w:b w:val="0"/>
          <w:sz w:val="28"/>
        </w:rPr>
        <w:t>Все складские маршруты требуют токен авторизации. Маршруты управления пользователями находятся в AuthController и доступны только пользователю с ролью администратора.</w:t>
      </w:r>
    </w:p>
    <w:p w14:paraId="220DBC2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Физическая структура базы данных включает таблицы suppliers, materials, measurement_units, document_types, storage_units и shipments. В таблице storage_units итоговая стоимость total_price является вычисляемым столбцом. Процедура add_storage_unit добавляет приход и проверяет соответствие счета материала справочнику. Процедура add_shipment добавляет расход и проверяет, что списываемое количество не превышает доступный остаток. Функции count_suppliers_for_material, get_suppliers_for_material и count_suppliers_by_bank_address реализуют отчетные операции. Триггеры поддерживают каскадное изменение счета материала, удаление зависимых приходов и расходов при удалении единицы измерения и запрет удаления поставщика с приходами.</w:t>
      </w:r>
    </w:p>
    <w:p w14:paraId="49302F58">
      <w:pPr>
        <w:spacing w:before="0" w:after="0"/>
        <w:ind w:firstLine="0"/>
        <w:jc w:val="center"/>
        <w:rPr>
          <w:rFonts w:hint="default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897880" cy="38162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Warehou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1627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2F0A879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2.1 — Use Case диаграмма системы складского учета материалов</w:t>
      </w:r>
    </w:p>
    <w:p w14:paraId="0C92F44A">
      <w:pPr>
        <w:jc w:val="both"/>
      </w:pPr>
      <w:r>
        <w:rPr>
          <w:rFonts w:ascii="Times New Roman" w:hAnsi="Times New Roman" w:eastAsia="Times New Roman"/>
          <w:b w:val="0"/>
          <w:sz w:val="28"/>
        </w:rPr>
        <w:t>Use Case диаграмма показывает распределение функциональных возможностей сайта по ролям. Новичок может зарегистрироваться по коду приглашения и войти в систему. Сотрудник склада наследует базовые действия и выполняет складские операции: просмотр сводных показателей, оформление прихода и расхода материалов, работу со справочниками, журналами, остатками и отчетами. Администратор сохраняет возможности сотрудника и дополнительно управляет пользователями, кодами приглашения, ролями доступа и удалением складских записей.</w:t>
      </w:r>
    </w:p>
    <w:p w14:paraId="56C77974">
      <w:pPr>
        <w:spacing w:before="0" w:after="0"/>
        <w:ind w:firstLine="0"/>
        <w:jc w:val="center"/>
        <w:rPr>
          <w:rFonts w:hint="default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lang w:val="ru-RU"/>
        </w:rPr>
        <w:drawing>
          <wp:inline distT="0" distB="0" distL="114300" distR="114300">
            <wp:extent cx="6111240" cy="4201795"/>
            <wp:effectExtent l="0" t="0" r="0" b="4445"/>
            <wp:docPr id="5" name="Picture 5" descr="UseMap_Wareho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UseMap_Warehous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124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318B0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2.2 — UseMap пользовательских сценариев системы</w:t>
      </w:r>
    </w:p>
    <w:p w14:paraId="0AD963C8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UseMap отражает карту основных переходов пользователя после авторизации: рабочий экран открывает обзор показателей, форму прихода, форму расхода, таблицу остатков, справочники и отчетные сценарии. Через эти разделы пользователь получает доступ к журналам операций, отчету по материалу и расчету поставщиков по банковскому адресу. Администратор из навигации переходит в раздел управления пользователями.</w:t>
      </w:r>
    </w:p>
    <w:p w14:paraId="763182DE">
      <w:pPr>
        <w:spacing w:before="0" w:after="0"/>
        <w:ind w:firstLine="0"/>
        <w:jc w:val="center"/>
        <w:rPr>
          <w:rFonts w:hint="default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lang w:val="ru-RU"/>
        </w:rPr>
        <w:drawing>
          <wp:inline distT="0" distB="0" distL="114300" distR="114300">
            <wp:extent cx="6103620" cy="3729990"/>
            <wp:effectExtent l="0" t="0" r="7620" b="3810"/>
            <wp:docPr id="6" name="Picture 6" descr="DatabaseMap_Warehou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atabaseMap_Warehouse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0362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43A18">
      <w:pPr>
        <w:keepNext w:val="0"/>
        <w:spacing w:before="0" w:after="0" w:line="240" w:lineRule="auto"/>
        <w:ind w:left="0" w:right="0" w:firstLine="0"/>
        <w:jc w:val="center"/>
      </w:pPr>
      <w:r>
        <w:rPr>
          <w:rFonts w:ascii="Times New Roman" w:hAnsi="Times New Roman" w:eastAsia="Times New Roman" w:cs="Times New Roman"/>
          <w:i w:val="0"/>
          <w:sz w:val="28"/>
        </w:rPr>
        <w:t>Рисунок 2.3 — Карта базы данных PostgreSQL</w:t>
      </w:r>
    </w:p>
    <w:p w14:paraId="16AB02F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Карта базы данных показывает таблицы suppliers, materials, measurement_units, document_types, storage_units и shipments, их первичные и внешние ключи, а также программные объекты PostgreSQL: функции, процедуры добавления прихода и расхода и триггеры контроля целостности.</w:t>
      </w:r>
    </w:p>
    <w:p w14:paraId="02756D52">
      <w:pPr>
        <w:pStyle w:val="2"/>
        <w:keepNext/>
        <w:pageBreakBefore/>
        <w:spacing w:before="0" w:after="240" w:line="360" w:lineRule="auto"/>
        <w:ind w:left="0" w:right="0" w:firstLine="0"/>
        <w:jc w:val="left"/>
      </w:pPr>
      <w:bookmarkStart w:id="18" w:name="_Toc25624"/>
      <w:bookmarkEnd w:id="18"/>
      <w:bookmarkStart w:id="19" w:name="_Toc29008"/>
      <w:r>
        <w:rPr>
          <w:rFonts w:ascii="Times New Roman" w:hAnsi="Times New Roman" w:eastAsia="Times New Roman" w:cs="Times New Roman"/>
          <w:b/>
          <w:sz w:val="36"/>
        </w:rPr>
        <w:t>3 ПРАКТИЧЕСКАЯ ЧАСТЬ</w:t>
      </w:r>
      <w:bookmarkEnd w:id="19"/>
    </w:p>
    <w:p w14:paraId="16E29464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20" w:name="_Toc5770"/>
      <w:bookmarkStart w:id="21" w:name="_Toc2089"/>
      <w:r>
        <w:rPr>
          <w:rFonts w:ascii="Times New Roman" w:hAnsi="Times New Roman" w:eastAsia="Times New Roman" w:cs="Times New Roman"/>
          <w:b/>
          <w:sz w:val="32"/>
        </w:rPr>
        <w:t>3.1 Разработка составных элементов</w:t>
      </w:r>
      <w:bookmarkEnd w:id="20"/>
      <w:bookmarkEnd w:id="21"/>
    </w:p>
    <w:p w14:paraId="63231A5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Разработка программного продукта выполнена в виде двух приложений и набора SQL-объектов базы данных. Клиентская часть находится в каталоге warehouse-client, серверная часть - в каталоге Warehouse.Api, схема базы данных - в файле database/warehouse.sql. Корневая команда npm run dev запускает обе части проекта через сценарий start.ps1.</w:t>
      </w:r>
    </w:p>
    <w:p w14:paraId="508C2B1E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Клиентский компонент App.tsx содержит типы данных, состояние приложения, функции загрузки справочников, обработчики авторизации, добавления прихода, оформления расхода, администрирования пользователей и построения отчетов. Интерфейс состоит из экрана входа, боковой навигации, панели показателей склада, разделов прихода и расхода, таблицы остатков, справочников, журналов операций, отчета по поставщикам материала, формы расчета поставщиков по банковскому адресу и раздела администратора.</w:t>
      </w:r>
    </w:p>
    <w:p w14:paraId="239EF6B9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Серверная часть реализует два контроллера. AuthController предоставляет вход, регистрацию по коду приглашения, получение текущего пользователя, просмотр списка пользователей и создание учетных записей администратором. WarehouseController предоставляет складские операции и защищен атрибутом Authorize. В AuthService реализовано хранение пользователей в памяти, роли employee и admin, хеширование паролей с солью, выдача токена и проверка токена в TokenAuthenticationHandler.</w:t>
      </w:r>
    </w:p>
    <w:p w14:paraId="1315CBF7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Репозиторий IWarehouseRepository задает контракт складских операций: справочники, приходы, расходы, остатки и отчеты. In-memory реализация используется при пустой строке подключения и удобна для демонстрации без установленной СУБД. PostgresWarehouseRepository выполняет SQL-запросы через Npgsql, вызывает функции и процедуры PostgreSQL и преобразует строки результата в типизированные модели C#.</w:t>
      </w:r>
    </w:p>
    <w:p w14:paraId="58C6B19E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Схема PostgreSQL содержит справочники, таблицу приходных операций и таблицу расходных операций. Для исходной демонстрации добавлены три поставщика, три материала, несколько единиц измерения, типы документов, четыре прихода и два расхода. Такая начальная база позволяет проверить работу справочников, форм прихода и расхода, остатков и отчетов сразу после запуска.</w:t>
      </w:r>
    </w:p>
    <w:p w14:paraId="3919547D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22" w:name="_Toc16299"/>
      <w:bookmarkStart w:id="23" w:name="_Toc9788"/>
      <w:r>
        <w:rPr>
          <w:rFonts w:ascii="Times New Roman" w:hAnsi="Times New Roman" w:eastAsia="Times New Roman" w:cs="Times New Roman"/>
          <w:b/>
          <w:sz w:val="32"/>
        </w:rPr>
        <w:t>3.2 Установка и настройка</w:t>
      </w:r>
      <w:bookmarkEnd w:id="22"/>
      <w:bookmarkEnd w:id="23"/>
    </w:p>
    <w:p w14:paraId="18A88C24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запуска проекта необходимы Node.js с npm и установленный .NET SDK, соответствующий целевой платформе проекта. При использовании PostgreSQL дополнительно создается база данных, в которой выполняется сценарий database/warehouse.sql. Если строка подключения WarehouseDb в appsettings.json оставлена пустой, сервер использует in-memory хранилище и позволяет запустить демонстрацию без отдельной СУБД.</w:t>
      </w:r>
    </w:p>
    <w:p w14:paraId="5B13F8C3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Порядок запуска проекта:</w:t>
      </w:r>
    </w:p>
    <w:p w14:paraId="4EA0BE1C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открыть корневую папку проекта;</w:t>
      </w:r>
    </w:p>
    <w:p w14:paraId="0B58D7C4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выполнить команду npm run dev;</w:t>
      </w:r>
    </w:p>
    <w:p w14:paraId="76A2C504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дождаться запуска API на http://localhost:5064;</w:t>
      </w:r>
    </w:p>
    <w:p w14:paraId="00855D17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открыть клиентское приложение по адресу http://localhost:5173;</w:t>
      </w:r>
    </w:p>
    <w:p w14:paraId="238D1117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войти под тестовой учетной записью employee@warehouse.local с паролем Warehouse123! либо под учетной записью администратора admin@warehouse.local с паролем Admin123!; также доступна регистрация по коду INVITE-2026.</w:t>
      </w:r>
    </w:p>
    <w:p w14:paraId="4A034D1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Сценарий start.ps1 проверяет наличие npm и dotnet, при необходимости устанавливает зависимости клиентской части, выполняет восстановление пакетов backend-проекта, останавливает ранее запущенные процессы этого приложения и стартует API и Vite-клиент в скрытых фоновых окнах. Логи запуска сохраняются в каталоге .run.</w:t>
      </w:r>
    </w:p>
    <w:p w14:paraId="5FBFEEF3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параметры настройки хранятся в appsettings.json. В разделе Auth указаны демонстрационные учетные записи сотрудника и администратора, а также допустимые коды приглашения. В разделе ConnectionStrings указывается строка подключения WarehouseDb. Такой подход отделяет настройки окружения от исходного кода и позволяет запускать проект в разных режимах.</w:t>
      </w:r>
    </w:p>
    <w:p w14:paraId="7C31EE76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24" w:name="_Toc5448"/>
      <w:bookmarkStart w:id="25" w:name="_Toc9051"/>
      <w:r>
        <w:rPr>
          <w:rFonts w:ascii="Times New Roman" w:hAnsi="Times New Roman" w:eastAsia="Times New Roman" w:cs="Times New Roman"/>
          <w:b/>
          <w:sz w:val="32"/>
        </w:rPr>
        <w:t>3.3 Тестирование</w:t>
      </w:r>
      <w:bookmarkEnd w:id="24"/>
      <w:bookmarkEnd w:id="25"/>
    </w:p>
    <w:p w14:paraId="4E15A262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Функциональное тестирование проводилось по основным пользовательским сценариям. Проверялись авторизация, регистрация, загрузка справочников, работа поиска, добавление прихода, оформление расхода, контроль невозможности списания сверх остатка, работа админ-раздела, обработка ошибок валидации и построение отчетов. Отдельно проверялась сборка клиентской и серверной части стандартными средствами проекта.</w:t>
      </w:r>
    </w:p>
    <w:p w14:paraId="253C896B">
      <w:pPr>
        <w:keepNext/>
        <w:spacing w:before="120" w:after="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i/>
          <w:sz w:val="28"/>
        </w:rPr>
        <w:t>Таблица 3.1 — Функциональные тест-кейсы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2322"/>
        <w:gridCol w:w="2983"/>
        <w:gridCol w:w="2310"/>
      </w:tblGrid>
      <w:tr w14:paraId="58C7D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277AA66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Номер</w:t>
            </w:r>
          </w:p>
        </w:tc>
        <w:tc>
          <w:tcPr>
            <w:tcW w:w="2409" w:type="dxa"/>
            <w:vAlign w:val="center"/>
          </w:tcPr>
          <w:p w14:paraId="1759CB73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Сценарий</w:t>
            </w:r>
          </w:p>
        </w:tc>
        <w:tc>
          <w:tcPr>
            <w:tcW w:w="2409" w:type="dxa"/>
            <w:vAlign w:val="center"/>
          </w:tcPr>
          <w:p w14:paraId="2E771CA4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Входные данные</w:t>
            </w:r>
          </w:p>
        </w:tc>
        <w:tc>
          <w:tcPr>
            <w:tcW w:w="2409" w:type="dxa"/>
            <w:vAlign w:val="center"/>
          </w:tcPr>
          <w:p w14:paraId="012CEFF9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Ожидаемый результат</w:t>
            </w:r>
          </w:p>
        </w:tc>
      </w:tr>
      <w:tr w14:paraId="218E8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18E23A3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</w:t>
            </w:r>
          </w:p>
        </w:tc>
        <w:tc>
          <w:tcPr>
            <w:tcW w:w="2409" w:type="dxa"/>
            <w:vAlign w:val="center"/>
          </w:tcPr>
          <w:p w14:paraId="550B048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Вход пользователя</w:t>
            </w:r>
          </w:p>
        </w:tc>
        <w:tc>
          <w:tcPr>
            <w:tcW w:w="2409" w:type="dxa"/>
            <w:vAlign w:val="center"/>
          </w:tcPr>
          <w:p w14:paraId="42177E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employee@warehouse.local, Warehouse123!</w:t>
            </w:r>
          </w:p>
        </w:tc>
        <w:tc>
          <w:tcPr>
            <w:tcW w:w="2409" w:type="dxa"/>
            <w:vAlign w:val="center"/>
          </w:tcPr>
          <w:p w14:paraId="147AA45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Пользователь попадает на рабочий экран склада.</w:t>
            </w:r>
          </w:p>
        </w:tc>
      </w:tr>
      <w:tr w14:paraId="78DAF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0D73AF6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2</w:t>
            </w:r>
          </w:p>
        </w:tc>
        <w:tc>
          <w:tcPr>
            <w:tcW w:w="2409" w:type="dxa"/>
            <w:vAlign w:val="center"/>
          </w:tcPr>
          <w:p w14:paraId="3F4AE1F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Ошибочный вход</w:t>
            </w:r>
          </w:p>
        </w:tc>
        <w:tc>
          <w:tcPr>
            <w:tcW w:w="2409" w:type="dxa"/>
            <w:vAlign w:val="center"/>
          </w:tcPr>
          <w:p w14:paraId="1BD2B08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Неверный пароль</w:t>
            </w:r>
          </w:p>
        </w:tc>
        <w:tc>
          <w:tcPr>
            <w:tcW w:w="2409" w:type="dxa"/>
            <w:vAlign w:val="center"/>
          </w:tcPr>
          <w:p w14:paraId="795A7EF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показывает сообщение об ошибке и не открывает складские данные.</w:t>
            </w:r>
          </w:p>
        </w:tc>
      </w:tr>
      <w:tr w14:paraId="2AD8D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0E2028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3</w:t>
            </w:r>
          </w:p>
        </w:tc>
        <w:tc>
          <w:tcPr>
            <w:tcW w:w="2409" w:type="dxa"/>
            <w:vAlign w:val="center"/>
          </w:tcPr>
          <w:p w14:paraId="79D94CB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Регистрация по приглашению</w:t>
            </w:r>
          </w:p>
        </w:tc>
        <w:tc>
          <w:tcPr>
            <w:tcW w:w="2409" w:type="dxa"/>
            <w:vAlign w:val="center"/>
          </w:tcPr>
          <w:p w14:paraId="25C622D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Корректная почта, имя, пароль и INVITE-2026</w:t>
            </w:r>
          </w:p>
        </w:tc>
        <w:tc>
          <w:tcPr>
            <w:tcW w:w="2409" w:type="dxa"/>
            <w:vAlign w:val="center"/>
          </w:tcPr>
          <w:p w14:paraId="048E2D8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Создается учетная запись и выдается токен доступа.</w:t>
            </w:r>
          </w:p>
        </w:tc>
      </w:tr>
      <w:tr w14:paraId="267E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1CE89C4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4</w:t>
            </w:r>
          </w:p>
        </w:tc>
        <w:tc>
          <w:tcPr>
            <w:tcW w:w="2409" w:type="dxa"/>
            <w:vAlign w:val="center"/>
          </w:tcPr>
          <w:p w14:paraId="30F8A28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Загрузка справочников</w:t>
            </w:r>
          </w:p>
        </w:tc>
        <w:tc>
          <w:tcPr>
            <w:tcW w:w="2409" w:type="dxa"/>
            <w:vAlign w:val="center"/>
          </w:tcPr>
          <w:p w14:paraId="6B46E33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Открытие рабочего экрана</w:t>
            </w:r>
          </w:p>
        </w:tc>
        <w:tc>
          <w:tcPr>
            <w:tcW w:w="2409" w:type="dxa"/>
            <w:vAlign w:val="center"/>
          </w:tcPr>
          <w:p w14:paraId="28D7170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Отображаются материалы, поставщики, документы, единицы измерения, приходы, расходы и остатки.</w:t>
            </w:r>
          </w:p>
        </w:tc>
      </w:tr>
      <w:tr w14:paraId="1E679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0C0830C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5</w:t>
            </w:r>
          </w:p>
        </w:tc>
        <w:tc>
          <w:tcPr>
            <w:tcW w:w="2409" w:type="dxa"/>
            <w:vAlign w:val="center"/>
          </w:tcPr>
          <w:p w14:paraId="0D9F304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Поиск материала</w:t>
            </w:r>
          </w:p>
        </w:tc>
        <w:tc>
          <w:tcPr>
            <w:tcW w:w="2409" w:type="dxa"/>
            <w:vAlign w:val="center"/>
          </w:tcPr>
          <w:p w14:paraId="370775C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Фрагмент названия или кода материала</w:t>
            </w:r>
          </w:p>
        </w:tc>
        <w:tc>
          <w:tcPr>
            <w:tcW w:w="2409" w:type="dxa"/>
            <w:vAlign w:val="center"/>
          </w:tcPr>
          <w:p w14:paraId="64FD95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Таблица материалов показывает только подходящие строки.</w:t>
            </w:r>
          </w:p>
        </w:tc>
      </w:tr>
      <w:tr w14:paraId="49E42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360DB17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6</w:t>
            </w:r>
          </w:p>
        </w:tc>
        <w:tc>
          <w:tcPr>
            <w:tcW w:w="2409" w:type="dxa"/>
            <w:vAlign w:val="center"/>
          </w:tcPr>
          <w:p w14:paraId="66C466B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Добавление прихода</w:t>
            </w:r>
          </w:p>
        </w:tc>
        <w:tc>
          <w:tcPr>
            <w:tcW w:w="2409" w:type="dxa"/>
            <w:vAlign w:val="center"/>
          </w:tcPr>
          <w:p w14:paraId="15CF235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Номер ордера, дата, поставщик, документ, материал, единица, количество и цена</w:t>
            </w:r>
          </w:p>
        </w:tc>
        <w:tc>
          <w:tcPr>
            <w:tcW w:w="2409" w:type="dxa"/>
            <w:vAlign w:val="center"/>
          </w:tcPr>
          <w:p w14:paraId="10643D5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Приход добавляется, таблица обновляется, итоговая стоимость рассчитана.</w:t>
            </w:r>
          </w:p>
        </w:tc>
      </w:tr>
      <w:tr w14:paraId="6DAAC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1C9AB8B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7</w:t>
            </w:r>
          </w:p>
        </w:tc>
        <w:tc>
          <w:tcPr>
            <w:tcW w:w="2409" w:type="dxa"/>
            <w:vAlign w:val="center"/>
          </w:tcPr>
          <w:p w14:paraId="4CC8301C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Контроль остатка при расходе</w:t>
            </w:r>
          </w:p>
        </w:tc>
        <w:tc>
          <w:tcPr>
            <w:tcW w:w="2409" w:type="dxa"/>
            <w:vAlign w:val="center"/>
          </w:tcPr>
          <w:p w14:paraId="4495C6A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Количество расхода больше доступного остатка</w:t>
            </w:r>
          </w:p>
        </w:tc>
        <w:tc>
          <w:tcPr>
            <w:tcW w:w="2409" w:type="dxa"/>
            <w:vAlign w:val="center"/>
          </w:tcPr>
          <w:p w14:paraId="529C410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Сервер возвращает ошибку, расход не добавляется.</w:t>
            </w:r>
          </w:p>
        </w:tc>
      </w:tr>
      <w:tr w14:paraId="0B8BA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0426B0B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8</w:t>
            </w:r>
          </w:p>
        </w:tc>
        <w:tc>
          <w:tcPr>
            <w:tcW w:w="2409" w:type="dxa"/>
            <w:vAlign w:val="center"/>
          </w:tcPr>
          <w:p w14:paraId="1F37717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Отчет по материалу</w:t>
            </w:r>
          </w:p>
        </w:tc>
        <w:tc>
          <w:tcPr>
            <w:tcW w:w="2409" w:type="dxa"/>
            <w:vAlign w:val="center"/>
          </w:tcPr>
          <w:p w14:paraId="51AE50E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Выбор MAT-001</w:t>
            </w:r>
          </w:p>
        </w:tc>
        <w:tc>
          <w:tcPr>
            <w:tcW w:w="2409" w:type="dxa"/>
            <w:vAlign w:val="center"/>
          </w:tcPr>
          <w:p w14:paraId="5D137AC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Отображается количество поставщиков и список поставщиков с суммарными значениями.</w:t>
            </w:r>
          </w:p>
        </w:tc>
      </w:tr>
      <w:tr w14:paraId="67AF1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74F3E1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9</w:t>
            </w:r>
          </w:p>
        </w:tc>
        <w:tc>
          <w:tcPr>
            <w:tcW w:w="2409" w:type="dxa"/>
            <w:vAlign w:val="center"/>
          </w:tcPr>
          <w:p w14:paraId="67D55624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Расчет по банковскому адресу</w:t>
            </w:r>
          </w:p>
        </w:tc>
        <w:tc>
          <w:tcPr>
            <w:tcW w:w="2409" w:type="dxa"/>
            <w:vAlign w:val="center"/>
          </w:tcPr>
          <w:p w14:paraId="2AFF12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101000, Москва, Мясницкая, 12</w:t>
            </w:r>
          </w:p>
        </w:tc>
        <w:tc>
          <w:tcPr>
            <w:tcW w:w="2409" w:type="dxa"/>
            <w:vAlign w:val="center"/>
          </w:tcPr>
          <w:p w14:paraId="2AE301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Система возвращает количество поставщиков с указанным банковским адресом.</w:t>
            </w:r>
          </w:p>
        </w:tc>
      </w:tr>
      <w:tr w14:paraId="5CAC18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9" w:type="dxa"/>
            <w:vAlign w:val="center"/>
          </w:tcPr>
          <w:p w14:paraId="38035D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10</w:t>
            </w:r>
          </w:p>
        </w:tc>
        <w:tc>
          <w:tcPr>
            <w:tcW w:w="2409" w:type="dxa"/>
            <w:vAlign w:val="center"/>
          </w:tcPr>
          <w:p w14:paraId="4E57D72D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Выход пользователя</w:t>
            </w:r>
          </w:p>
        </w:tc>
        <w:tc>
          <w:tcPr>
            <w:tcW w:w="2409" w:type="dxa"/>
            <w:vAlign w:val="center"/>
          </w:tcPr>
          <w:p w14:paraId="44647AA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Нажатие кнопки «Выйти»</w:t>
            </w:r>
          </w:p>
        </w:tc>
        <w:tc>
          <w:tcPr>
            <w:tcW w:w="2409" w:type="dxa"/>
            <w:vAlign w:val="center"/>
          </w:tcPr>
          <w:p w14:paraId="62CC87B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Токен удаляется, пользователь возвращается на экран входа.</w:t>
            </w:r>
          </w:p>
        </w:tc>
      </w:tr>
    </w:tbl>
    <w:p w14:paraId="63C35D6B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 результатам тестирования основные требования были выполнены. Приложение корректно разделяет доступ к складским маршрутам и админ-разделу, загружает справочники, выполняет валидацию данных, добавляет приходы, оформляет расходы, контролирует остатки, рассчитывает итоговые показатели и обновляет пользовательский интерфейс после операций.</w:t>
      </w:r>
    </w:p>
    <w:p w14:paraId="49BF9693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26" w:name="_Toc3875"/>
      <w:bookmarkStart w:id="27" w:name="_Toc870"/>
      <w:r>
        <w:rPr>
          <w:rFonts w:ascii="Times New Roman" w:hAnsi="Times New Roman" w:eastAsia="Times New Roman" w:cs="Times New Roman"/>
          <w:b/>
          <w:sz w:val="32"/>
        </w:rPr>
        <w:t>3.4 Ввод в эксплуатацию</w:t>
      </w:r>
      <w:bookmarkEnd w:id="26"/>
      <w:bookmarkEnd w:id="27"/>
    </w:p>
    <w:p w14:paraId="264704FC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Ввод приложения в эксплуатацию предполагает подготовку серверного окружения, настройку базы данных и публикацию клиентской части. На этапе учебной демонстрации приложение запускается локально: API доступен на порту 5064, клиентское приложение - на порту 5173. Для промышленного режима необходимо разместить API на сервере, настроить HTTPS, указать постоянную строку подключения к PostgreSQL и собрать клиентскую часть командой npm run build.</w:t>
      </w:r>
    </w:p>
    <w:p w14:paraId="4428D588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Первоначальное наполнение базы выполняется SQL-сценарием database/warehouse.sql. После выполнения сценария создается схема warehouse, таблицы, функции, процедуры, триггеры и демонстрационные записи. Далее администратор может заменить демонстрационные данные фактическими справочниками предприятия.</w:t>
      </w:r>
    </w:p>
    <w:p w14:paraId="136826F6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Для безопасной эксплуатации необходимо заменить демонстрационный пароль, задать собственные коды приглашения, ограничить CORS доменом реального клиентского приложения и хранить строку подключения вне публичного исходного кода, например через переменные окружения или секреты окружения развертывания.</w:t>
      </w:r>
    </w:p>
    <w:p w14:paraId="35721994">
      <w:pPr>
        <w:pStyle w:val="3"/>
        <w:keepNext/>
        <w:pageBreakBefore w:val="0"/>
        <w:spacing w:before="480" w:after="240" w:line="360" w:lineRule="auto"/>
        <w:ind w:left="0" w:right="0" w:firstLine="709"/>
        <w:jc w:val="left"/>
      </w:pPr>
      <w:bookmarkStart w:id="28" w:name="_Toc10351"/>
      <w:bookmarkStart w:id="29" w:name="_Toc1219"/>
      <w:r>
        <w:rPr>
          <w:rFonts w:ascii="Times New Roman" w:hAnsi="Times New Roman" w:eastAsia="Times New Roman" w:cs="Times New Roman"/>
          <w:b/>
          <w:sz w:val="32"/>
        </w:rPr>
        <w:t>3.5 Разработка сопроводительной документации</w:t>
      </w:r>
      <w:bookmarkEnd w:id="28"/>
      <w:bookmarkEnd w:id="29"/>
    </w:p>
    <w:p w14:paraId="0E6B260B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Сопроводительная документация включает инструкцию пользователя, описание настройки и перечень основных файлов проекта. Инструкция пользователя предназначена для сотрудника склада, который выполняет вход, просматривает материалы, добавляет приходные операции, оформляет расход со склада, контролирует остатки и формирует отчеты. Для администратора дополнительно предусмотрено создание пользователей и назначение роли.</w:t>
      </w:r>
    </w:p>
    <w:p w14:paraId="7FD5E9B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Инструкция по эксплуатации:</w:t>
      </w:r>
    </w:p>
    <w:p w14:paraId="4A388156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запустить проект командой npm run dev из корневой папки;</w:t>
      </w:r>
    </w:p>
    <w:p w14:paraId="752EDA2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открыть в браузере http://localhost:5173;</w:t>
      </w:r>
    </w:p>
    <w:p w14:paraId="0C2F77F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войти под существующей учетной записью или зарегистрироваться по коду приглашения;</w:t>
      </w:r>
    </w:p>
    <w:p w14:paraId="144EDB42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для просмотра материалов открыть раздел «Справочники» и воспользоваться поиском по материалам;</w:t>
      </w:r>
    </w:p>
    <w:p w14:paraId="5F3D59D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для добавления прихода открыть раздел «Приход», заполнить форму нового прихода и нажать кнопку «Добавить»;</w:t>
      </w:r>
    </w:p>
    <w:p w14:paraId="5825E225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для оформления расхода открыть раздел «Расход», выбрать материал, единицу измерения, направление отправки, количество и нажать кнопку «Отправить»;</w:t>
      </w:r>
    </w:p>
    <w:p w14:paraId="4FA23AA3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для контроля остатков использовать таблицу «Остатки» в разделе «Расход»;</w:t>
      </w:r>
    </w:p>
    <w:p w14:paraId="530F4E5D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• для просмотра отчетов открыть раздел «Отчеты», выбрать материал или заполнить банковский адрес; администратор может открыть раздел «Админ» и создать пользователя; для завершения работы нажать кнопку «Выйти».</w:t>
      </w:r>
    </w:p>
    <w:p w14:paraId="05D5354C">
      <w:pPr>
        <w:keepNext/>
        <w:spacing w:before="120" w:after="0" w:line="240" w:lineRule="auto"/>
        <w:ind w:left="0" w:right="0" w:firstLine="0"/>
        <w:jc w:val="left"/>
      </w:pPr>
      <w:r>
        <w:rPr>
          <w:rFonts w:ascii="Times New Roman" w:hAnsi="Times New Roman" w:eastAsia="Times New Roman" w:cs="Times New Roman"/>
          <w:i/>
          <w:sz w:val="28"/>
        </w:rPr>
        <w:t>Таблица 3.2 — Основные файлы проекта</w:t>
      </w:r>
    </w:p>
    <w:tbl>
      <w:tblPr>
        <w:tblStyle w:val="20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68"/>
        <w:gridCol w:w="3986"/>
      </w:tblGrid>
      <w:tr w14:paraId="73F73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7C86E755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Файл или каталог</w:t>
            </w:r>
          </w:p>
        </w:tc>
        <w:tc>
          <w:tcPr>
            <w:tcW w:w="4819" w:type="dxa"/>
            <w:vAlign w:val="center"/>
          </w:tcPr>
          <w:p w14:paraId="279FBA58"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Назначение</w:t>
            </w:r>
          </w:p>
        </w:tc>
      </w:tr>
      <w:tr w14:paraId="323FE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1B78F2E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warehouse-client/src/App.tsx</w:t>
            </w:r>
          </w:p>
        </w:tc>
        <w:tc>
          <w:tcPr>
            <w:tcW w:w="4819" w:type="dxa"/>
            <w:vAlign w:val="center"/>
          </w:tcPr>
          <w:p w14:paraId="1AD16C1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Главный React-компонент, состояние интерфейса, формы прихода и расхода, таблицы, авторизация, администрирование и вызовы API.</w:t>
            </w:r>
          </w:p>
        </w:tc>
      </w:tr>
      <w:tr w14:paraId="4389A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15736257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warehouse-client/src/App.css</w:t>
            </w:r>
          </w:p>
        </w:tc>
        <w:tc>
          <w:tcPr>
            <w:tcW w:w="4819" w:type="dxa"/>
            <w:vAlign w:val="center"/>
          </w:tcPr>
          <w:p w14:paraId="7BBF5E3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Стили интерфейса, адаптивная верстка, светлая и темная тема.</w:t>
            </w:r>
          </w:p>
        </w:tc>
      </w:tr>
      <w:tr w14:paraId="134B2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2E81AD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Warehouse.Api/Program.cs</w:t>
            </w:r>
          </w:p>
        </w:tc>
        <w:tc>
          <w:tcPr>
            <w:tcW w:w="4819" w:type="dxa"/>
            <w:vAlign w:val="center"/>
          </w:tcPr>
          <w:p w14:paraId="228AF838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Настройка серверного приложения, сервисов, CORS, аутентификации и маршрутизации.</w:t>
            </w:r>
          </w:p>
        </w:tc>
      </w:tr>
      <w:tr w14:paraId="75EB4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612ABD90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Warehouse.Api/Controllers/AuthController.cs</w:t>
            </w:r>
          </w:p>
        </w:tc>
        <w:tc>
          <w:tcPr>
            <w:tcW w:w="4819" w:type="dxa"/>
            <w:vAlign w:val="center"/>
          </w:tcPr>
          <w:p w14:paraId="4371294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Маршруты входа, регистрации, получения текущего пользователя и администрирования учетных записей.</w:t>
            </w:r>
          </w:p>
        </w:tc>
      </w:tr>
      <w:tr w14:paraId="73DE4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135F3D4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Warehouse.Api/Controllers/WarehouseController.cs</w:t>
            </w:r>
          </w:p>
        </w:tc>
        <w:tc>
          <w:tcPr>
            <w:tcW w:w="4819" w:type="dxa"/>
            <w:vAlign w:val="center"/>
          </w:tcPr>
          <w:p w14:paraId="4D73854F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Маршруты складского учета, приходов, расходов, остатков и отчетов.</w:t>
            </w:r>
          </w:p>
        </w:tc>
      </w:tr>
      <w:tr w14:paraId="7419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76C4FFC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Warehouse.Api/Services/AuthService.cs</w:t>
            </w:r>
          </w:p>
        </w:tc>
        <w:tc>
          <w:tcPr>
            <w:tcW w:w="4819" w:type="dxa"/>
            <w:vAlign w:val="center"/>
          </w:tcPr>
          <w:p w14:paraId="0CFD9015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Пользователи, роли, хеширование паролей, токены и обработчик аутентификации.</w:t>
            </w:r>
          </w:p>
        </w:tc>
      </w:tr>
      <w:tr w14:paraId="43EDF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53BC9F3B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Warehouse.Api/Services/WarehouseRepository.cs</w:t>
            </w:r>
          </w:p>
        </w:tc>
        <w:tc>
          <w:tcPr>
            <w:tcW w:w="4819" w:type="dxa"/>
            <w:vAlign w:val="center"/>
          </w:tcPr>
          <w:p w14:paraId="6AB4C566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Контракт репозитория и in-memory реализация для демонстрации.</w:t>
            </w:r>
          </w:p>
        </w:tc>
      </w:tr>
      <w:tr w14:paraId="4FA81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592AF2F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Warehouse.Api/Services/PostgresWarehouseRepository.cs</w:t>
            </w:r>
          </w:p>
        </w:tc>
        <w:tc>
          <w:tcPr>
            <w:tcW w:w="4819" w:type="dxa"/>
            <w:vAlign w:val="center"/>
          </w:tcPr>
          <w:p w14:paraId="41B9AA1E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Реализация репозитория для PostgreSQL через Npgsql.</w:t>
            </w:r>
          </w:p>
        </w:tc>
      </w:tr>
      <w:tr w14:paraId="0533E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3A3A7FC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Warehouse.Api/Models/WarehouseModels.cs</w:t>
            </w:r>
          </w:p>
        </w:tc>
        <w:tc>
          <w:tcPr>
            <w:tcW w:w="4819" w:type="dxa"/>
            <w:vAlign w:val="center"/>
          </w:tcPr>
          <w:p w14:paraId="59F84AA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Типизированные модели предметной области, приходов, расходов, остатков и авторизации.</w:t>
            </w:r>
          </w:p>
        </w:tc>
      </w:tr>
      <w:tr w14:paraId="1E8B0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6C88D21A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database/warehouse.sql</w:t>
            </w:r>
          </w:p>
        </w:tc>
        <w:tc>
          <w:tcPr>
            <w:tcW w:w="4819" w:type="dxa"/>
            <w:vAlign w:val="center"/>
          </w:tcPr>
          <w:p w14:paraId="6C692971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Создание схемы базы данных, таблиц приходов и расходов, функций, процедур, триггеров и начальных данных.</w:t>
            </w:r>
          </w:p>
        </w:tc>
      </w:tr>
      <w:tr w14:paraId="1EA58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9" w:type="dxa"/>
            <w:vAlign w:val="center"/>
          </w:tcPr>
          <w:p w14:paraId="6CE7BCB9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start.ps1</w:t>
            </w:r>
          </w:p>
        </w:tc>
        <w:tc>
          <w:tcPr>
            <w:tcW w:w="4819" w:type="dxa"/>
            <w:vAlign w:val="center"/>
          </w:tcPr>
          <w:p w14:paraId="48948253"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sz w:val="24"/>
              </w:rPr>
              <w:t>Автоматический запуск backend и frontend частей проекта.</w:t>
            </w:r>
          </w:p>
        </w:tc>
      </w:tr>
    </w:tbl>
    <w:p>
      <w:pPr>
        <w:jc w:val="both"/>
      </w:pPr>
      <w:r>
        <w:rPr>
          <w:rFonts w:ascii="Times New Roman" w:hAnsi="Times New Roman" w:eastAsia="Times New Roman"/>
          <w:b w:val="0"/>
          <w:sz w:val="28"/>
        </w:rPr>
        <w:t>Мини-заключение по разделу 3.5. Разработанная сопроводительная документация позволяет пользователю самостоятельно запустить систему, выполнить основные складские операции и понять назначение ключевых файлов проекта. Это снижает зависимость эксплуатации от разработчика и упрощает передачу приложения на проверку или дальнейшее сопровождение.</w:t>
      </w:r>
    </w:p>
    <w:p w14:paraId="257BB08C">
      <w:pPr>
        <w:pStyle w:val="2"/>
        <w:keepNext/>
        <w:pageBreakBefore/>
        <w:spacing w:before="0" w:after="240" w:line="360" w:lineRule="auto"/>
        <w:ind w:left="0" w:right="0" w:firstLine="0"/>
        <w:jc w:val="center"/>
      </w:pPr>
      <w:bookmarkStart w:id="30" w:name="_Toc25892"/>
      <w:bookmarkEnd w:id="30"/>
      <w:bookmarkStart w:id="31" w:name="_Toc8996"/>
      <w:r>
        <w:rPr>
          <w:rFonts w:ascii="Times New Roman" w:hAnsi="Times New Roman" w:eastAsia="Times New Roman" w:cs="Times New Roman"/>
          <w:b/>
          <w:sz w:val="36"/>
        </w:rPr>
        <w:t>ЗАКЛЮЧЕНИЕ</w:t>
      </w:r>
      <w:bookmarkEnd w:id="31"/>
    </w:p>
    <w:p w14:paraId="307037CA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результате выполнения курсовой работы была описана программируемая система складского учета материалов, рассмотрены существующие решения-аналоги по теме, сформированы требования к разрабатываемому решению, выбран технологический стек, спроектирована архитектура приложения и разработан программный продукт.</w:t>
      </w:r>
    </w:p>
    <w:p w14:paraId="3DA03AE6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Практическая реализация включает React-клиент, ASP.NET Core Web API, модуль авторизации, репозиторий данных и схему PostgreSQL. Система позволяет выполнять вход и регистрацию пользователя, просматривать справочники материалов и поставщиков, добавлять складские приходы, оформлять расход материалов со склада, контролировать текущие остатки, управлять пользователями в роли администратора, рассчитывать итоговую стоимость, формировать отчет по поставщикам выбранного материала и определять количество поставщиков по банковскому адресу.</w:t>
      </w:r>
    </w:p>
    <w:p w14:paraId="5AF92C5E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Поставленные задачи выполнены: предметная область проанализирована, аналоги рассмотрены, требования описаны, инструменты выбраны и обоснованы, проект решения представлен диаграммами и описанием структуры, основные составные элементы реализованы, подготовлена инструкция по установке, тестированию и эксплуатации.</w:t>
      </w:r>
    </w:p>
    <w:p w14:paraId="3BBFBB5F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Перспективы развития продукта могут состоять в редактировании справочников через интерфейс, журналировании действий пользователей, экспорте отчетов в XLSX или PDF, подключении промышленной базы данных предприятия, расширении аналитики по остаткам и интеграции с внешними учетными системами.</w:t>
      </w:r>
    </w:p>
    <w:p w14:paraId="6227AEA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Практическая и исследовательская значимость работы заключается не только в получении непосредственного опыта разработки веб-приложения, но и в изучении общего контекста процесса создания программного продукта: анализа требований, проектирования, выбора технологий, реализации, тестирования, настройки и подготовки сопроводительной документации.</w:t>
      </w:r>
    </w:p>
    <w:p w14:paraId="618E39B8">
      <w:pPr>
        <w:pStyle w:val="2"/>
        <w:keepNext/>
        <w:pageBreakBefore/>
        <w:spacing w:before="0" w:after="240" w:line="360" w:lineRule="auto"/>
        <w:ind w:left="0" w:right="0" w:firstLine="0"/>
        <w:jc w:val="center"/>
      </w:pPr>
      <w:bookmarkStart w:id="32" w:name="_Toc31689"/>
      <w:bookmarkEnd w:id="32"/>
      <w:bookmarkStart w:id="33" w:name="_Toc3497"/>
      <w:r>
        <w:rPr>
          <w:rFonts w:ascii="Times New Roman" w:hAnsi="Times New Roman" w:eastAsia="Times New Roman" w:cs="Times New Roman"/>
          <w:b/>
          <w:sz w:val="36"/>
        </w:rPr>
        <w:t>СПИСОК ИСПОЛЬЗОВАННЫХ ИСТОЧНИКОВ</w:t>
      </w:r>
      <w:bookmarkEnd w:id="33"/>
    </w:p>
    <w:p w14:paraId="67A08B2C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1. Microsoft Learn. Create web APIs with ASP.NET Core [Электронный ресурс]. URL: https://learn.microsoft.com/en-us/aspnet/core/web-api/?view=aspnetcore-10.0 (дата обращения: 19.05.2026).</w:t>
      </w:r>
    </w:p>
    <w:p w14:paraId="1C4FC2D1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2. React Documentation. React Reference Overview [Электронный ресурс]. URL: https://react.dev/reference/react (дата обращения: 19.05.2026).</w:t>
      </w:r>
    </w:p>
    <w:p w14:paraId="661D0711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3. PostgreSQL Documentation. PostgreSQL 18 Documentation [Электронный ресурс]. URL: https://www.postgresql.org/docs/current/ (дата обращения: 19.05.2026).</w:t>
      </w:r>
    </w:p>
    <w:p w14:paraId="54F5D620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4. Vite Documentation. Getting Started [Электронный ресурс]. URL: https://vite.dev/guide/ (дата обращения: 19.05.2026).</w:t>
      </w:r>
    </w:p>
    <w:p w14:paraId="429C7D61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5. Npgsql Documentation. Basic Usage [Электронный ресурс]. URL: https://www.npgsql.org/doc/basic-usage.html (дата обращения: 19.05.2026).</w:t>
      </w:r>
    </w:p>
    <w:p w14:paraId="41B3ACEE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6. TypeScript Documentation [Электронный ресурс]. URL: https://www.typescriptlang.org/docs/ (дата обращения: 19.05.2026).</w:t>
      </w:r>
    </w:p>
    <w:p w14:paraId="2AF8F0ED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7. Система программ 1С:Предприятие, официальный сайт [Электронный ресурс]. URL: https://v8.1c.ru/ (дата обращения: 19.05.2026).</w:t>
      </w:r>
    </w:p>
    <w:p w14:paraId="6A59D394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8. МойСклад. Облачная ERP-система [Электронный ресурс]. URL: https://www.moysklad.ru/ (дата обращения: 19.05.2026).</w:t>
      </w:r>
    </w:p>
    <w:p w14:paraId="678354D5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sz w:val="28"/>
        </w:rPr>
        <w:t>9. Saby Retail. Автоматизация магазина - программа для магазина розничной торговли [Электронный ресурс]. URL: https://saby.ru/retail (дата обращения: 19.05.2026).</w:t>
      </w:r>
    </w:p>
    <w:p w14:paraId="6F7D3A4F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sz w:val="28"/>
        </w:rPr>
        <w:t>10. Контур.Маркет. Товарный учет онлайн [Электронный ресурс]. URL: https://i.vkontur.ru/market (дата обращения: 19.05.2026).</w:t>
      </w:r>
    </w:p>
    <w:p w14:paraId="5B8712D9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sz w:val="28"/>
        </w:rPr>
        <w:t>11. 1С:Управление торговлей 8. Управление складом и запасами [Электронный ресурс]. URL: https://v8.1c.ru/trade/upravlenie-skladom-i-zapasami/ (дата обращения: 19.05.2026).</w:t>
      </w:r>
    </w:p>
    <w:p w14:paraId="6BECD876">
      <w:pPr>
        <w:widowControl/>
        <w:spacing w:before="0" w:after="0" w:line="360" w:lineRule="auto"/>
        <w:ind w:left="0" w:right="0" w:firstLine="709"/>
        <w:jc w:val="both"/>
      </w:pPr>
      <w:r>
        <w:rPr>
          <w:rFonts w:ascii="Times New Roman" w:hAnsi="Times New Roman" w:eastAsia="Times New Roman" w:cs="Times New Roman"/>
          <w:sz w:val="28"/>
        </w:rPr>
        <w:t>12. МойСклад. Учет товаров на складе [Электронный ресурс]. URL: https://www.moysklad.ru/reshenija/uchet-tovarov/ (дата обращения: 19.05.2026).</w:t>
      </w:r>
    </w:p>
    <w:p>
      <w:pPr>
        <w:jc w:val="both"/>
      </w:pPr>
      <w:r>
        <w:rPr>
          <w:rFonts w:ascii="Times New Roman" w:hAnsi="Times New Roman" w:eastAsia="Times New Roman"/>
          <w:b w:val="0"/>
          <w:sz w:val="28"/>
        </w:rPr>
        <w:t>13. Ford N., Richards M., Sadalage P., Dehghani Z. Software Architecture: The Hard Parts: Modern Trade-Off Analyses for Distributed Architectures. O'Reilly Media, 2021.</w:t>
      </w:r>
    </w:p>
    <w:sectPr>
      <w:footerReference r:id="rId6" w:type="first"/>
      <w:footerReference r:id="rId5" w:type="default"/>
      <w:pgSz w:w="11906" w:h="16838"/>
      <w:pgMar w:top="1134" w:right="567" w:bottom="1134" w:left="1701" w:header="680" w:footer="68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C6A986">
    <w:pPr>
      <w:jc w:val="center"/>
    </w:pPr>
    <w:r>
      <w:rPr>
        <w:rFonts w:ascii="Times New Roman" w:hAnsi="Times New Roman" w:eastAsia="Times New Roman" w:cs="Times New Roman"/>
        <w:sz w:val="28"/>
      </w:rPr>
      <w:fldChar w:fldCharType="begin"/>
    </w:r>
    <w:r>
      <w:rPr>
        <w:rFonts w:ascii="Times New Roman" w:hAnsi="Times New Roman" w:eastAsia="Times New Roman" w:cs="Times New Roman"/>
        <w:sz w:val="28"/>
      </w:rPr>
      <w:instrText xml:space="preserve">PAGE</w:instrText>
    </w:r>
    <w:r>
      <w:rPr>
        <w:rFonts w:ascii="Times New Roman" w:hAnsi="Times New Roman" w:eastAsia="Times New Roman" w:cs="Times New Roman"/>
        <w:sz w:val="2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8DF11C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26</w:t>
    </w:r>
    <w:r>
      <w:rPr>
        <w:color w:val="000000"/>
      </w:rPr>
      <w:fldChar w:fldCharType="end"/>
    </w:r>
  </w:p>
  <w:p w14:paraId="4467926B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946E58"/>
    <w:multiLevelType w:val="multilevel"/>
    <w:tmpl w:val="1D946E58"/>
    <w:lvl w:ilvl="0" w:tentative="0">
      <w:start w:val="1"/>
      <w:numFmt w:val="decimal"/>
      <w:pStyle w:val="34"/>
      <w:lvlText w:val="%1."/>
      <w:lvlJc w:val="left"/>
      <w:pPr>
        <w:ind w:left="1276" w:hanging="567"/>
      </w:p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1F"/>
    <w:rsid w:val="00037753"/>
    <w:rsid w:val="001E31C3"/>
    <w:rsid w:val="00237170"/>
    <w:rsid w:val="00B00B61"/>
    <w:rsid w:val="00B014F2"/>
    <w:rsid w:val="00F1131F"/>
    <w:rsid w:val="01654AA3"/>
    <w:rsid w:val="0E2B1B43"/>
    <w:rsid w:val="2C226433"/>
    <w:rsid w:val="3DFA7897"/>
    <w:rsid w:val="42715D3E"/>
    <w:rsid w:val="430A1E1E"/>
    <w:rsid w:val="6CF81176"/>
    <w:rsid w:val="730F6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 w:eastAsia="ru-RU" w:bidi="ar-SA"/>
    </w:rPr>
  </w:style>
  <w:style w:type="paragraph" w:styleId="2">
    <w:name w:val="heading 1"/>
    <w:basedOn w:val="1"/>
    <w:next w:val="1"/>
    <w:link w:val="27"/>
    <w:qFormat/>
    <w:uiPriority w:val="9"/>
    <w:pPr>
      <w:keepNext/>
      <w:keepLines/>
      <w:pageBreakBefore/>
      <w:spacing w:before="0" w:after="240" w:line="360" w:lineRule="auto"/>
      <w:ind w:firstLine="0"/>
      <w:jc w:val="center"/>
      <w:outlineLvl w:val="0"/>
    </w:pPr>
    <w:rPr>
      <w:rFonts w:ascii="Times New Roman" w:hAnsi="Times New Roman" w:eastAsiaTheme="majorEastAsia" w:cstheme="majorBidi"/>
      <w:b/>
      <w:caps/>
      <w:sz w:val="36"/>
      <w:szCs w:val="32"/>
    </w:rPr>
  </w:style>
  <w:style w:type="paragraph" w:styleId="3">
    <w:name w:val="heading 2"/>
    <w:basedOn w:val="1"/>
    <w:next w:val="1"/>
    <w:link w:val="32"/>
    <w:unhideWhenUsed/>
    <w:qFormat/>
    <w:uiPriority w:val="9"/>
    <w:pPr>
      <w:keepNext/>
      <w:keepLines/>
      <w:spacing w:before="240" w:after="120" w:line="360" w:lineRule="auto"/>
      <w:ind w:firstLine="0"/>
      <w:jc w:val="left"/>
      <w:outlineLvl w:val="1"/>
    </w:pPr>
    <w:rPr>
      <w:rFonts w:ascii="Times New Roman" w:hAnsi="Times New Roman" w:eastAsiaTheme="majorEastAsia" w:cstheme="majorBidi"/>
      <w:b/>
      <w:sz w:val="32"/>
      <w:szCs w:val="26"/>
    </w:rPr>
  </w:style>
  <w:style w:type="paragraph" w:styleId="4">
    <w:name w:val="heading 3"/>
    <w:basedOn w:val="1"/>
    <w:next w:val="1"/>
    <w:link w:val="31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b/>
      <w:sz w:val="28"/>
      <w:szCs w:val="24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1">
    <w:name w:val="Hyperlink"/>
    <w:basedOn w:val="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3">
    <w:name w:val="toc 1"/>
    <w:basedOn w:val="1"/>
    <w:next w:val="1"/>
    <w:autoRedefine/>
    <w:unhideWhenUsed/>
    <w:qFormat/>
    <w:uiPriority w:val="39"/>
    <w:pPr>
      <w:tabs>
        <w:tab w:val="left" w:pos="284"/>
        <w:tab w:val="right" w:leader="dot" w:pos="9628"/>
      </w:tabs>
      <w:spacing w:line="240" w:lineRule="auto"/>
      <w:ind w:firstLine="0"/>
    </w:pPr>
    <w:rPr>
      <w:rFonts w:ascii="Times New Roman" w:hAnsi="Times New Roman" w:eastAsia="Times New Roman" w:cs="Times New Roman"/>
      <w:sz w:val="28"/>
    </w:rPr>
  </w:style>
  <w:style w:type="paragraph" w:styleId="14">
    <w:name w:val="toc 3"/>
    <w:basedOn w:val="1"/>
    <w:next w:val="1"/>
    <w:autoRedefine/>
    <w:unhideWhenUsed/>
    <w:qFormat/>
    <w:uiPriority w:val="39"/>
    <w:pPr>
      <w:tabs>
        <w:tab w:val="left" w:pos="709"/>
        <w:tab w:val="right" w:leader="dot" w:pos="9628"/>
      </w:tabs>
      <w:spacing w:line="240" w:lineRule="auto"/>
      <w:ind w:firstLine="0"/>
    </w:pPr>
    <w:rPr>
      <w:rFonts w:ascii="Times New Roman" w:hAnsi="Times New Roman" w:eastAsia="Times New Roman" w:cs="Times New Roman"/>
      <w:sz w:val="28"/>
    </w:rPr>
  </w:style>
  <w:style w:type="paragraph" w:styleId="15">
    <w:name w:val="toc 2"/>
    <w:basedOn w:val="1"/>
    <w:next w:val="1"/>
    <w:autoRedefine/>
    <w:unhideWhenUsed/>
    <w:qFormat/>
    <w:uiPriority w:val="39"/>
    <w:pPr>
      <w:tabs>
        <w:tab w:val="left" w:pos="426"/>
        <w:tab w:val="right" w:leader="dot" w:pos="9628"/>
      </w:tabs>
      <w:spacing w:line="240" w:lineRule="auto"/>
      <w:ind w:firstLine="0"/>
    </w:pPr>
    <w:rPr>
      <w:rFonts w:ascii="Times New Roman" w:hAnsi="Times New Roman" w:eastAsia="Times New Roman" w:cs="Times New Roman"/>
      <w:sz w:val="28"/>
    </w:rPr>
  </w:style>
  <w:style w:type="paragraph" w:styleId="16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17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9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20">
    <w:name w:val="Table Grid"/>
    <w:basedOn w:val="9"/>
    <w:qFormat/>
    <w:uiPriority w:val="39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1">
    <w:name w:val="Table Normal1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2">
    <w:name w:val="Table Normal2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3">
    <w:name w:val="Table Normal3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4">
    <w:name w:val="Верхний колонтитул Знак"/>
    <w:basedOn w:val="8"/>
    <w:link w:val="12"/>
    <w:qFormat/>
    <w:uiPriority w:val="99"/>
  </w:style>
  <w:style w:type="character" w:customStyle="1" w:styleId="25">
    <w:name w:val="Нижний колонтитул Знак"/>
    <w:basedOn w:val="8"/>
    <w:link w:val="17"/>
    <w:qFormat/>
    <w:uiPriority w:val="99"/>
  </w:style>
  <w:style w:type="paragraph" w:styleId="26">
    <w:name w:val="List Paragraph"/>
    <w:basedOn w:val="1"/>
    <w:link w:val="37"/>
    <w:qFormat/>
    <w:uiPriority w:val="34"/>
    <w:pPr>
      <w:ind w:left="720"/>
      <w:contextualSpacing/>
    </w:pPr>
  </w:style>
  <w:style w:type="character" w:customStyle="1" w:styleId="27">
    <w:name w:val="Заголовок 1 Знак"/>
    <w:basedOn w:val="8"/>
    <w:link w:val="2"/>
    <w:qFormat/>
    <w:uiPriority w:val="9"/>
    <w:rPr>
      <w:rFonts w:ascii="Times New Roman" w:hAnsi="Times New Roman" w:eastAsiaTheme="majorEastAsia" w:cstheme="majorBidi"/>
      <w:b/>
      <w:caps/>
      <w:sz w:val="36"/>
      <w:szCs w:val="32"/>
    </w:rPr>
  </w:style>
  <w:style w:type="paragraph" w:customStyle="1" w:styleId="28">
    <w:name w:val="TOC Heading"/>
    <w:basedOn w:val="2"/>
    <w:next w:val="1"/>
    <w:unhideWhenUsed/>
    <w:qFormat/>
    <w:uiPriority w:val="39"/>
    <w:pPr>
      <w:spacing w:line="240" w:lineRule="auto"/>
      <w:ind w:firstLine="0"/>
      <w:outlineLvl w:val="9"/>
    </w:pPr>
    <w:rPr>
      <w:rFonts w:ascii="Times New Roman" w:hAnsi="Times New Roman" w:eastAsia="Times New Roman" w:cs="Times New Roman"/>
      <w:sz w:val="28"/>
    </w:rPr>
  </w:style>
  <w:style w:type="character" w:customStyle="1" w:styleId="29">
    <w:name w:val="Неразрешенное упоминание1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styleId="30">
    <w:name w:val="Placeholder Text"/>
    <w:basedOn w:val="8"/>
    <w:semiHidden/>
    <w:qFormat/>
    <w:uiPriority w:val="99"/>
    <w:rPr>
      <w:color w:val="808080"/>
    </w:rPr>
  </w:style>
  <w:style w:type="character" w:customStyle="1" w:styleId="31">
    <w:name w:val="Заголовок 3 Знак"/>
    <w:basedOn w:val="8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character" w:customStyle="1" w:styleId="32">
    <w:name w:val="Заголовок 2 Знак"/>
    <w:basedOn w:val="8"/>
    <w:link w:val="3"/>
    <w:qFormat/>
    <w:uiPriority w:val="9"/>
    <w:rPr>
      <w:rFonts w:ascii="Times New Roman" w:hAnsi="Times New Roman" w:eastAsiaTheme="majorEastAsia" w:cstheme="majorBidi"/>
      <w:b/>
      <w:sz w:val="32"/>
      <w:szCs w:val="26"/>
    </w:rPr>
  </w:style>
  <w:style w:type="paragraph" w:customStyle="1" w:styleId="33">
    <w:name w:val="ИП_Названия таблиц"/>
    <w:basedOn w:val="1"/>
    <w:link w:val="35"/>
    <w:qFormat/>
    <w:uiPriority w:val="0"/>
    <w:pPr>
      <w:keepNext/>
      <w:widowControl w:val="0"/>
      <w:spacing w:before="120" w:line="240" w:lineRule="auto"/>
      <w:ind w:firstLine="0"/>
    </w:pPr>
    <w:rPr>
      <w:i/>
      <w:sz w:val="24"/>
    </w:rPr>
  </w:style>
  <w:style w:type="paragraph" w:customStyle="1" w:styleId="34">
    <w:name w:val="ИП_Нумерованный список"/>
    <w:basedOn w:val="1"/>
    <w:link w:val="38"/>
    <w:qFormat/>
    <w:uiPriority w:val="0"/>
    <w:pPr>
      <w:numPr>
        <w:ilvl w:val="0"/>
        <w:numId w:val="1"/>
      </w:numPr>
      <w:tabs>
        <w:tab w:val="left" w:pos="1276"/>
      </w:tabs>
    </w:pPr>
  </w:style>
  <w:style w:type="character" w:customStyle="1" w:styleId="35">
    <w:name w:val="ИП_Названия таблиц Знак"/>
    <w:basedOn w:val="8"/>
    <w:link w:val="33"/>
    <w:qFormat/>
    <w:uiPriority w:val="0"/>
    <w:rPr>
      <w:rFonts w:ascii="Times New Roman" w:hAnsi="Times New Roman" w:cs="Times New Roman"/>
      <w:i/>
      <w:sz w:val="24"/>
      <w:szCs w:val="28"/>
    </w:rPr>
  </w:style>
  <w:style w:type="paragraph" w:customStyle="1" w:styleId="36">
    <w:name w:val="ИП_Маркированный список"/>
    <w:basedOn w:val="26"/>
    <w:link w:val="40"/>
    <w:qFormat/>
    <w:uiPriority w:val="0"/>
    <w:pPr>
      <w:tabs>
        <w:tab w:val="left" w:pos="720"/>
        <w:tab w:val="left" w:pos="1276"/>
      </w:tabs>
      <w:ind w:left="0"/>
    </w:pPr>
  </w:style>
  <w:style w:type="character" w:customStyle="1" w:styleId="37">
    <w:name w:val="Абзац списка Знак"/>
    <w:basedOn w:val="8"/>
    <w:link w:val="26"/>
    <w:qFormat/>
    <w:uiPriority w:val="34"/>
    <w:rPr>
      <w:rFonts w:ascii="Times New Roman" w:hAnsi="Times New Roman" w:cs="Times New Roman"/>
      <w:sz w:val="28"/>
      <w:szCs w:val="28"/>
    </w:rPr>
  </w:style>
  <w:style w:type="character" w:customStyle="1" w:styleId="38">
    <w:name w:val="ИП_Нумерованный список Знак"/>
    <w:basedOn w:val="37"/>
    <w:link w:val="34"/>
    <w:qFormat/>
    <w:uiPriority w:val="0"/>
    <w:rPr>
      <w:rFonts w:ascii="Times New Roman" w:hAnsi="Times New Roman" w:cs="Times New Roman"/>
      <w:sz w:val="28"/>
      <w:szCs w:val="28"/>
    </w:rPr>
  </w:style>
  <w:style w:type="paragraph" w:customStyle="1" w:styleId="39">
    <w:name w:val="ИП_Текст в таблицах"/>
    <w:basedOn w:val="1"/>
    <w:link w:val="42"/>
    <w:qFormat/>
    <w:uiPriority w:val="0"/>
    <w:pPr>
      <w:spacing w:line="240" w:lineRule="auto"/>
      <w:ind w:firstLine="0"/>
    </w:pPr>
    <w:rPr>
      <w:color w:val="000000"/>
      <w:sz w:val="24"/>
    </w:rPr>
  </w:style>
  <w:style w:type="character" w:customStyle="1" w:styleId="40">
    <w:name w:val="ИП_Маркированный список Знак"/>
    <w:basedOn w:val="37"/>
    <w:link w:val="36"/>
    <w:qFormat/>
    <w:uiPriority w:val="0"/>
    <w:rPr>
      <w:rFonts w:ascii="Times New Roman" w:hAnsi="Times New Roman" w:cs="Times New Roman"/>
      <w:sz w:val="28"/>
      <w:szCs w:val="28"/>
    </w:rPr>
  </w:style>
  <w:style w:type="paragraph" w:customStyle="1" w:styleId="41">
    <w:name w:val="ИП_Названия рисунков"/>
    <w:basedOn w:val="1"/>
    <w:link w:val="44"/>
    <w:qFormat/>
    <w:uiPriority w:val="0"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42">
    <w:name w:val="ИП_Текст в таблицах Знак"/>
    <w:basedOn w:val="8"/>
    <w:link w:val="39"/>
    <w:qFormat/>
    <w:uiPriority w:val="0"/>
    <w:rPr>
      <w:rFonts w:ascii="Times New Roman" w:hAnsi="Times New Roman" w:eastAsia="Times New Roman" w:cs="Times New Roman"/>
      <w:color w:val="000000"/>
      <w:kern w:val="0"/>
      <w:sz w:val="24"/>
      <w:szCs w:val="28"/>
      <w:lang w:eastAsia="ru-RU"/>
    </w:rPr>
  </w:style>
  <w:style w:type="paragraph" w:customStyle="1" w:styleId="43">
    <w:name w:val="ИП_Листинг кода"/>
    <w:basedOn w:val="1"/>
    <w:link w:val="46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pacing w:line="240" w:lineRule="auto"/>
      <w:ind w:firstLine="0"/>
    </w:pPr>
    <w:rPr>
      <w:rFonts w:ascii="Courier New" w:hAnsi="Courier New" w:cs="Courier New"/>
      <w:sz w:val="20"/>
    </w:rPr>
  </w:style>
  <w:style w:type="character" w:customStyle="1" w:styleId="44">
    <w:name w:val="ИП_Названия рисунков Знак"/>
    <w:basedOn w:val="8"/>
    <w:link w:val="41"/>
    <w:qFormat/>
    <w:uiPriority w:val="0"/>
    <w:rPr>
      <w:rFonts w:ascii="Times New Roman" w:hAnsi="Times New Roman" w:cs="Times New Roman"/>
      <w:b/>
      <w:sz w:val="24"/>
      <w:szCs w:val="28"/>
    </w:rPr>
  </w:style>
  <w:style w:type="paragraph" w:customStyle="1" w:styleId="45">
    <w:name w:val="ИП_Название листинга"/>
    <w:basedOn w:val="1"/>
    <w:link w:val="48"/>
    <w:qFormat/>
    <w:uiPriority w:val="0"/>
    <w:pPr>
      <w:keepNext/>
      <w:spacing w:before="120" w:line="240" w:lineRule="auto"/>
      <w:ind w:firstLine="0"/>
      <w:jc w:val="left"/>
    </w:pPr>
    <w:rPr>
      <w:i/>
      <w:sz w:val="24"/>
    </w:rPr>
  </w:style>
  <w:style w:type="character" w:customStyle="1" w:styleId="46">
    <w:name w:val="ИП_Листинг кода Знак"/>
    <w:basedOn w:val="8"/>
    <w:link w:val="43"/>
    <w:qFormat/>
    <w:uiPriority w:val="0"/>
    <w:rPr>
      <w:rFonts w:ascii="Courier New" w:hAnsi="Courier New" w:cs="Courier New"/>
      <w:sz w:val="20"/>
      <w:szCs w:val="28"/>
    </w:rPr>
  </w:style>
  <w:style w:type="paragraph" w:customStyle="1" w:styleId="47">
    <w:name w:val="ИП_Заголовки приложений"/>
    <w:basedOn w:val="3"/>
    <w:link w:val="49"/>
    <w:qFormat/>
    <w:uiPriority w:val="0"/>
    <w:pPr>
      <w:jc w:val="center"/>
    </w:pPr>
  </w:style>
  <w:style w:type="character" w:customStyle="1" w:styleId="48">
    <w:name w:val="ИП_Название листинга Знак"/>
    <w:basedOn w:val="8"/>
    <w:link w:val="45"/>
    <w:qFormat/>
    <w:uiPriority w:val="0"/>
    <w:rPr>
      <w:rFonts w:ascii="Times New Roman" w:hAnsi="Times New Roman" w:cs="Times New Roman"/>
      <w:i/>
      <w:sz w:val="24"/>
      <w:szCs w:val="28"/>
    </w:rPr>
  </w:style>
  <w:style w:type="character" w:customStyle="1" w:styleId="49">
    <w:name w:val="ИП_Заголовки приложений Знак"/>
    <w:basedOn w:val="32"/>
    <w:link w:val="47"/>
    <w:qFormat/>
    <w:uiPriority w:val="0"/>
    <w:rPr>
      <w:rFonts w:ascii="Times New Roman" w:hAnsi="Times New Roman" w:eastAsiaTheme="majorEastAsia" w:cstheme="majorBidi"/>
      <w:sz w:val="32"/>
      <w:szCs w:val="26"/>
    </w:rPr>
  </w:style>
  <w:style w:type="table" w:customStyle="1" w:styleId="50">
    <w:name w:val="_Style 49"/>
    <w:basedOn w:val="23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51">
    <w:name w:val="_Style 50"/>
    <w:basedOn w:val="23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52">
    <w:name w:val="_Style 51"/>
    <w:basedOn w:val="2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5AwI/B9uephpwbFhGG23vBigUQ==">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3507</Words>
  <Characters>27590</Characters>
  <Lines>148</Lines>
  <Paragraphs>41</Paragraphs>
  <TotalTime>45</TotalTime>
  <ScaleCrop>false</ScaleCrop>
  <LinksUpToDate>false</LinksUpToDate>
  <CharactersWithSpaces>30796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2024-05-15T23:01:00Z</dcterms:created>
  <dc:creator>Дмитрий Терентьев</dc:creator>
  <cp:lastModifiedBy>Саша Лобин</cp:lastModifiedBy>
  <dcterms:modified xsi:type="dcterms:W3CDTF">2026-05-27T09:24:46Z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C9ED50E5357442BD8E85EF05FE8D62C6_12</vt:lpwstr>
  </property>
  <property fmtid="{D5CDD505-2E9C-101B-9397-08002B2CF9AE}" pid="4" name="KSOTemplateDocerSaveRecord">
    <vt:lpwstr>eyJoZGlkIjoiYWVhYjk4ZTY2ODk4YmQ0ODJlYTUzZTA2NjdmZDRhMDIiLCJ1c2VySWQiOiI4NDIyODU0NzM1NDIifQ==</vt:lpwstr>
  </property>
</Properties>
</file>