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3 Vermogenskosten</w:t>
      </w:r>
    </w:p>
    <w:p>
      <w:r>
        <w:t>De WACC is de gewogen gemiddelde vermogenskostenvoet van eigen en vreemd vermogen. De WACC wordt gebruikt als disconteringsvoet.</w:t>
      </w:r>
    </w:p>
    <w:p>
      <w:pPr>
        <w:pStyle w:val="Heading2"/>
      </w:pPr>
      <w:r>
        <w:t>3.1 CAPM</w:t>
      </w:r>
    </w:p>
    <w:p>
      <w:r>
        <w:t>Het CAPM bepaalt het vereiste rendement op eigen vermogen: r = rf + beta × (rm − rf).</w:t>
      </w:r>
    </w:p>
    <w:p>
      <w:pPr>
        <w:pStyle w:val="ListBullet"/>
      </w:pPr>
      <w:r>
        <w:t>Bèta meet het systematisch risico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Rf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Rm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