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3667" w14:textId="50D1C18C" w:rsidR="003026B2" w:rsidRPr="006E7A7A" w:rsidRDefault="00500CD9" w:rsidP="009618E4">
      <w:pPr>
        <w:pStyle w:val="Titel"/>
        <w:pBdr>
          <w:bottom w:val="single" w:sz="4" w:space="1" w:color="auto"/>
        </w:pBdr>
        <w:rPr>
          <w:color w:val="000000" w:themeColor="text1"/>
          <w:sz w:val="36"/>
          <w:szCs w:val="36"/>
        </w:rPr>
      </w:pPr>
      <w:r w:rsidRPr="006E7A7A">
        <w:rPr>
          <w:rFonts w:cstheme="majorHAnsi"/>
          <w:noProof/>
          <w:color w:val="000000" w:themeColor="text1"/>
          <w:sz w:val="44"/>
          <w:szCs w:val="44"/>
          <w:lang w:eastAsia="de-AT"/>
        </w:rPr>
        <w:drawing>
          <wp:anchor distT="0" distB="0" distL="114300" distR="114300" simplePos="0" relativeHeight="251658240" behindDoc="0" locked="0" layoutInCell="1" allowOverlap="1" wp14:anchorId="6D6A4F3C" wp14:editId="226EB1E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76375" cy="495300"/>
            <wp:effectExtent l="0" t="0" r="9525" b="0"/>
            <wp:wrapSquare wrapText="bothSides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A7A">
        <w:rPr>
          <w:rFonts w:asciiTheme="minorHAnsi" w:hAnsiTheme="minorHAnsi" w:cstheme="minorHAnsi"/>
          <w:noProof/>
          <w:color w:val="000000" w:themeColor="text1"/>
          <w:sz w:val="44"/>
          <w:szCs w:val="44"/>
          <w:lang w:eastAsia="de-AT"/>
        </w:rPr>
        <w:drawing>
          <wp:anchor distT="0" distB="0" distL="114300" distR="114300" simplePos="0" relativeHeight="251660288" behindDoc="1" locked="0" layoutInCell="1" allowOverlap="1" wp14:anchorId="0BAB9D33" wp14:editId="51BA5C6F">
            <wp:simplePos x="0" y="0"/>
            <wp:positionH relativeFrom="rightMargin">
              <wp:posOffset>-66675</wp:posOffset>
            </wp:positionH>
            <wp:positionV relativeFrom="paragraph">
              <wp:posOffset>8890</wp:posOffset>
            </wp:positionV>
            <wp:extent cx="545465" cy="552450"/>
            <wp:effectExtent l="0" t="0" r="6985" b="0"/>
            <wp:wrapTight wrapText="bothSides">
              <wp:wrapPolygon edited="0">
                <wp:start x="0" y="0"/>
                <wp:lineTo x="0" y="20855"/>
                <wp:lineTo x="21122" y="20855"/>
                <wp:lineTo x="21122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3C7" w:rsidRPr="006E7A7A">
        <w:rPr>
          <w:rFonts w:cstheme="majorHAnsi"/>
          <w:noProof/>
          <w:color w:val="000000" w:themeColor="text1"/>
          <w:sz w:val="44"/>
          <w:szCs w:val="44"/>
          <w:lang w:eastAsia="de-AT"/>
        </w:rPr>
        <w:t>Übersicht der EU-Institutionen</w:t>
      </w:r>
    </w:p>
    <w:p w14:paraId="2659E217" w14:textId="4DABB6E4" w:rsidR="006D25ED" w:rsidRPr="006E7A7A" w:rsidRDefault="006D25ED" w:rsidP="00F176E0">
      <w:pPr>
        <w:rPr>
          <w:color w:val="000000" w:themeColor="text1"/>
        </w:rPr>
      </w:pPr>
    </w:p>
    <w:p w14:paraId="61434992" w14:textId="276E1C7E" w:rsidR="00FF09D3" w:rsidRPr="006E7A7A" w:rsidRDefault="00FD33C7" w:rsidP="008379A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Europäisches Parlament</w:t>
      </w:r>
    </w:p>
    <w:p w14:paraId="32EB9F36" w14:textId="6C531EEC" w:rsidR="00FD33C7" w:rsidRPr="006E7A7A" w:rsidRDefault="00FD33C7" w:rsidP="00FD33C7">
      <w:pPr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Das Europäische Parlament ist das </w:t>
      </w:r>
      <w:r w:rsidR="00C53DFD" w:rsidRPr="00F23F3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Gesetzgebungsorgan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 der EU. Es wird alle fünf Jahre 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direkt von den Bürgerinnen und Bürgern der EU gewählt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.</w:t>
      </w:r>
    </w:p>
    <w:p w14:paraId="2C492533" w14:textId="58296E19" w:rsidR="00FD33C7" w:rsidRPr="006E7A7A" w:rsidRDefault="003A1F4E" w:rsidP="00343F46">
      <w:pPr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Es ist ein direkt gewähltes EU-Organ mit Zuständigkeit für Gesetzgebung, Aufsicht und Haushalt. Es besteht aus</w:t>
      </w:r>
      <w:r w:rsidR="00F41692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D402C" w:rsidRPr="00F23F3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705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Mitglieder</w:t>
      </w:r>
      <w:r w:rsidR="00F41692">
        <w:rPr>
          <w:rFonts w:asciiTheme="majorHAnsi" w:hAnsiTheme="majorHAnsi" w:cstheme="majorHAnsi"/>
          <w:color w:val="000000" w:themeColor="text1"/>
          <w:sz w:val="22"/>
          <w:szCs w:val="22"/>
        </w:rPr>
        <w:t>n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des Europäischen Parlaments. </w:t>
      </w:r>
      <w:r w:rsidR="003732A5">
        <w:rPr>
          <w:rFonts w:asciiTheme="majorHAnsi" w:hAnsiTheme="majorHAnsi" w:cstheme="majorHAnsi"/>
          <w:color w:val="000000" w:themeColor="text1"/>
          <w:sz w:val="22"/>
          <w:szCs w:val="22"/>
        </w:rPr>
        <w:t>Die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aktuelle Präsident</w:t>
      </w:r>
      <w:r w:rsidR="003732A5">
        <w:rPr>
          <w:rFonts w:asciiTheme="majorHAnsi" w:hAnsiTheme="majorHAnsi" w:cstheme="majorHAnsi"/>
          <w:color w:val="000000" w:themeColor="text1"/>
          <w:sz w:val="22"/>
          <w:szCs w:val="22"/>
        </w:rPr>
        <w:t>in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heißt</w:t>
      </w:r>
      <w:r w:rsidR="0089747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89747A" w:rsidRPr="00F23F3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Roberta Metsola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. Standorte sind Straßburg, Brüssel und Luxemburg.</w:t>
      </w:r>
      <w:r w:rsidR="00343F46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FD33C7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Die Anzahl </w:t>
      </w:r>
      <w:r w:rsidR="00343F46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der Abgeordneten</w:t>
      </w:r>
      <w:r w:rsidR="00FD33C7" w:rsidRPr="006E7A7A">
        <w:rPr>
          <w:rStyle w:val="apple-converted-space"/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="00FD33C7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pro Land richtet sich ungefähr nach der</w:t>
      </w:r>
      <w:r w:rsidR="00FD33C7" w:rsidRPr="006E7A7A">
        <w:rPr>
          <w:rStyle w:val="apple-converted-space"/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="00FD33C7" w:rsidRPr="006E7A7A">
        <w:rPr>
          <w:rStyle w:val="Fett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Bevölkerungszahl</w:t>
      </w:r>
      <w:r w:rsidR="00FD33C7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, wobei der Grundsatz der </w:t>
      </w:r>
      <w:r w:rsidR="006239AB" w:rsidRPr="00F23F3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degressive</w:t>
      </w:r>
      <w:r w:rsidR="00685A55" w:rsidRPr="00F23F3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Proportionalität</w:t>
      </w:r>
      <w:r w:rsidR="003732A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FD33C7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Anwendung findet: Kein Land kann weniger als sechs oder mehr als 96 Abgeordnete haben, und die Gesamtzahl der Abgeordneten darf 705 (704 zuzüglich des Präsidenten) nicht überschreiten. Die Mitglieder des Parlaments sind </w:t>
      </w:r>
      <w:r w:rsidR="00343F46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nach </w:t>
      </w:r>
      <w:r w:rsidR="00DF1C96" w:rsidRPr="00DF1C9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Fraktionen</w:t>
      </w:r>
      <w:r w:rsidR="00DF1C9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FD33C7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und nicht nach Staatsangehörigkeit gruppiert.</w:t>
      </w:r>
    </w:p>
    <w:p w14:paraId="354BCF4E" w14:textId="77777777" w:rsidR="00343F46" w:rsidRPr="006E7A7A" w:rsidRDefault="00343F46" w:rsidP="00343F46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3158C249" w14:textId="3062174D" w:rsidR="00FD33C7" w:rsidRPr="006E7A7A" w:rsidRDefault="00FD33C7" w:rsidP="008379A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Europäischer Rat</w:t>
      </w:r>
    </w:p>
    <w:p w14:paraId="73D1FD7F" w14:textId="0273215C" w:rsidR="00FD33C7" w:rsidRPr="006E7A7A" w:rsidRDefault="00343F46" w:rsidP="00343F46">
      <w:pPr>
        <w:spacing w:after="160" w:line="259" w:lineRule="auto"/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val="de-DE" w:eastAsia="en-US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Im Europäischen Rat kommen die </w:t>
      </w:r>
      <w:r w:rsidR="00B7614E" w:rsidRPr="00B7614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Staats- und Regierungschefs</w:t>
      </w:r>
      <w:r w:rsidR="00B7614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der EU-Länder 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zusammen, um die 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politische Agenda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 der EU festzulegen. Er ist die 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höchste Ebene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 der politischen Zusammenarbeit zwischen den EU-Ländern. Es geht um die Bestimmung der allgemeinen politischen Zielvorstellungen und Prioritäten der EU. Mitglieder sind 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Staats- und Regierungschefs der EU-Länder, Präsident des Europäischen Rates, Präsident der Europäischen Kommission. Den Vorsitz hat</w:t>
      </w:r>
      <w:r w:rsidR="00BC22F0" w:rsidRPr="00BC22F0">
        <w:rPr>
          <w:rFonts w:ascii="Arial" w:hAnsi="Arial" w:cs="Arial"/>
          <w:color w:val="E2EEFF"/>
          <w:sz w:val="33"/>
          <w:szCs w:val="33"/>
        </w:rPr>
        <w:t xml:space="preserve"> </w:t>
      </w:r>
      <w:r w:rsidR="00BC22F0" w:rsidRPr="00B559C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Charles Michel</w:t>
      </w:r>
      <w:r w:rsidR="00BC22F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inne und der Standort ist Brüssel. Der Ratspräsident wird für </w:t>
      </w:r>
      <w:r w:rsidR="005F4DAF" w:rsidRPr="00793F38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2</w:t>
      </w:r>
      <w:r w:rsidR="00733796" w:rsidRPr="00793F38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,5 Jahre</w:t>
      </w:r>
      <w:r w:rsidR="005F4DA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(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1mal verlängerbar) gewählt und vertritt die EU nach außen hin.</w:t>
      </w:r>
    </w:p>
    <w:p w14:paraId="553822A9" w14:textId="0F86B5E6" w:rsidR="00FD33C7" w:rsidRPr="006E7A7A" w:rsidRDefault="00FD33C7" w:rsidP="008379A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Rat der Europäischen </w:t>
      </w:r>
      <w:r w:rsidR="00343F46"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U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nion</w:t>
      </w:r>
    </w:p>
    <w:p w14:paraId="61EF7567" w14:textId="76085480" w:rsidR="00FD33C7" w:rsidRPr="006E7A7A" w:rsidRDefault="00FD33C7" w:rsidP="00D827B8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Im Rat der EU, landläufig auch „der Rat“ genannt, kommen 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Minister aus allen EU-Ländern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 zusammen, um Rechtsvorschriften zu diskutieren, zu ändern und anzunehmen. Außerdem koordinieren sie ihre Politikbereiche. Alle auf den Ratstagungen anwesenden Minister sind befugt, „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für die Regierungen der von ihnen vertretenen Mitgliedstaaten verbindlich zu handeln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“.</w:t>
      </w:r>
      <w:r w:rsidR="00343F46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Rolle: Minister sind Stimme der eigenen Länder; nehmen Gesetze an un</w:t>
      </w:r>
      <w:r w:rsidR="00990CC7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d</w:t>
      </w:r>
      <w:r w:rsidR="00343F46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koordinieren EU-Politik. </w:t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Mitglieder</w:t>
      </w:r>
      <w:r w:rsidR="00343F46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s</w:t>
      </w:r>
      <w:r w:rsidR="00343F46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ind die Minister der jeweiligen Länder, je nach Politikbereich. Jedes </w:t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Land übernimmt </w:t>
      </w:r>
      <w:r w:rsidR="00793F38" w:rsidRPr="00496D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turnusmäßig</w:t>
      </w:r>
      <w:r w:rsidR="00793F3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den Ratsvorsitz für sech</w:t>
      </w:r>
      <w:r w:rsidR="00990CC7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s</w:t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Monate. Der Sitz ist in</w:t>
      </w:r>
      <w:r w:rsidR="00BF50AB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F50AB" w:rsidRPr="00BF50AB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Brüssel</w:t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. Den ständigen Vorsitz </w:t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im Rat der Außenminister führt der Hohevertreter – derzeit der Spanier </w:t>
      </w:r>
      <w:r w:rsidR="00FE3392" w:rsidRPr="00BC390D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Josep Borrell</w:t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. Bei den übrigen Tagungen des Rates führt der zuständige Minister des EU-Mitgliedstaats den Vorsitz, das den Ratsvorsitz innehat. Wenn beispielsweise der Rat „Umwelt“ in dem Zeitraum tagt, in dem Estland den EU-Ratsvorsitz innehat, führt der estnische Umweltminister den Vorsitz.</w:t>
      </w:r>
      <w:r w:rsidR="00D827B8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br/>
      </w:r>
    </w:p>
    <w:p w14:paraId="39DBBF08" w14:textId="1435833E" w:rsidR="00BF41ED" w:rsidRPr="006E7A7A" w:rsidRDefault="00FD33C7" w:rsidP="00990CC7">
      <w:pPr>
        <w:pStyle w:val="StandardWeb"/>
        <w:spacing w:before="0" w:beforeAutospacing="0" w:after="15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Europäische Kommission</w:t>
      </w:r>
      <w:r w:rsidR="00D827B8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br/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Die Europäische Kommission ist die</w:t>
      </w:r>
      <w:r w:rsidRPr="006E7A7A">
        <w:rPr>
          <w:rStyle w:val="apple-converted-space"/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Pr="006E7A7A">
        <w:rPr>
          <w:rStyle w:val="Fett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 xml:space="preserve">politisch unabhängige </w:t>
      </w:r>
      <w:r w:rsidR="003732A5" w:rsidRPr="00E74625">
        <w:rPr>
          <w:rStyle w:val="Fett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softHyphen/>
      </w:r>
      <w:r w:rsidR="003732A5" w:rsidRPr="00E74625">
        <w:rPr>
          <w:rStyle w:val="Fett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softHyphen/>
      </w:r>
      <w:r w:rsidR="00E74625" w:rsidRPr="00E74625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Exekutive</w:t>
      </w:r>
      <w:r w:rsidR="00E7462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der EU. Sie ist allein zuständig für die Erarbeitung von Vorschlägen für neue europäische Rechtsvorschriften und setzt die Beschlüsse </w:t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des Europäischen </w:t>
      </w:r>
      <w:r w:rsidR="00990CC7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Parlaments</w:t>
      </w:r>
      <w:r w:rsidRPr="006E7A7A">
        <w:rPr>
          <w:rStyle w:val="apple-converted-space"/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und </w:t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Rates der EU</w:t>
      </w:r>
      <w:r w:rsidRPr="006E7A7A">
        <w:rPr>
          <w:rStyle w:val="apple-converted-space"/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um.</w:t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Sie fördert </w:t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die allgemeinen Interessen der EU durch Vorschläge für neue europäische Rechtsvorschriften und deren Durchsetzung. Setzt Strategien um und verwaltet den EU-Haushalt. Jedes Land entsendet ein Kommissionsmitglied. Gemeinsam bildet dieses Team das „Kollegium“. Die rezente Präsidentin ist die Deutsche</w:t>
      </w:r>
      <w:r w:rsidR="003732A5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softHyphen/>
      </w:r>
      <w:r w:rsidR="00FA015F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</w:t>
      </w:r>
      <w:r w:rsidR="00FA015F">
        <w:rPr>
          <w:rFonts w:asciiTheme="majorHAnsi" w:hAnsiTheme="majorHAnsi" w:cstheme="majorHAnsi"/>
          <w:color w:val="000000" w:themeColor="text1"/>
          <w:sz w:val="22"/>
          <w:szCs w:val="22"/>
        </w:rPr>
        <w:t>Ursula von der Leyen</w:t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. Standort:</w:t>
      </w:r>
      <w:r w:rsidR="003732A5" w:rsidRPr="003732A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400272" w:rsidRPr="00B52E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Brüssel</w:t>
      </w:r>
      <w:r w:rsidR="00400272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  <w:r w:rsidR="00990CC7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br/>
      </w:r>
      <w:r w:rsidR="00990CC7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br/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Europäischer Gerichtshof (EuGH)</w:t>
      </w:r>
      <w:r w:rsidR="00990CC7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br/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Der EuGH gewährleistet</w:t>
      </w:r>
      <w:r w:rsidR="002D54CF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dass EU-Recht in alle</w:t>
      </w:r>
      <w:r w:rsidR="002D54CF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n</w:t>
      </w:r>
      <w:r w:rsidR="00BF41ED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EU-Mitgliedsstaaten </w:t>
      </w:r>
      <w:r w:rsidR="002D54CF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auf dieselbe Weise angewendet wird und es wird darauf geachtet, dass alle EU-Länder das EU-Recht einhalten. Zusammensetzung: Gerichtshof: Ein Richter aus jedem EU-Land, dazu elf Generalanwälte. Gericht: zwei Richter aus jedem EU-Land. Ort:</w:t>
      </w:r>
      <w:r w:rsidR="003732A5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softHyphen/>
      </w:r>
      <w:r w:rsidR="00B07B9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B07B94" w:rsidRPr="009A51E5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Luxenburg</w:t>
      </w:r>
      <w:r w:rsidR="00B07B9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0154945A" w14:textId="61AD8447" w:rsidR="002D54CF" w:rsidRPr="006E7A7A" w:rsidRDefault="002D54CF" w:rsidP="00BF41ED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Europäische Zentralbank (EZB)</w:t>
      </w:r>
      <w:r w:rsidR="00990CC7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br/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Verwaltung des Euro, Gewährleistung der Preisstabilität und Umsetzung der Wirtschaft</w:t>
      </w:r>
      <w:r w:rsidR="006E7A7A">
        <w:rPr>
          <w:rFonts w:asciiTheme="majorHAnsi" w:hAnsiTheme="majorHAnsi" w:cstheme="majorHAnsi"/>
          <w:color w:val="000000" w:themeColor="text1"/>
          <w:sz w:val="22"/>
          <w:szCs w:val="22"/>
        </w:rPr>
        <w:t>s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- und 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 xml:space="preserve">Währungspolitik der EU. Mitglieder sind die Präsidenten der nationalen </w:t>
      </w:r>
      <w:r w:rsidR="002C3B99" w:rsidRPr="004723C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Zentralbanken</w:t>
      </w:r>
      <w:r w:rsidR="002C3B9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der EU-Länder. Standort:</w:t>
      </w:r>
      <w:r w:rsidR="003732A5" w:rsidRPr="003732A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1522A0" w:rsidRPr="001522A0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Frankfurt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D805688" w14:textId="1E876083" w:rsidR="002D54CF" w:rsidRPr="006E7A7A" w:rsidRDefault="002D54CF" w:rsidP="00BF41ED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4A8E37FD" w14:textId="78327F43" w:rsidR="002D54CF" w:rsidRPr="006E7A7A" w:rsidRDefault="002D54CF" w:rsidP="00BF41ED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Europäischer Rechnungshof</w:t>
      </w:r>
    </w:p>
    <w:p w14:paraId="5AF9C6E9" w14:textId="6F652E69" w:rsidR="002D54CF" w:rsidRPr="006E7A7A" w:rsidRDefault="002D54CF" w:rsidP="00BF41ED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Kontrolle der ordnungsgemäßen Erhebung und Verwendung der EU-Mittel und Beitrag zur Verbesserung des Finanzmanagements der EU. </w:t>
      </w:r>
    </w:p>
    <w:p w14:paraId="5C01DF64" w14:textId="4BF0494A" w:rsidR="002D54CF" w:rsidRPr="006E7A7A" w:rsidRDefault="002D54CF" w:rsidP="00BF41ED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Mitglieder: </w:t>
      </w:r>
      <w:r w:rsidR="003732A5" w:rsidRPr="003732A5">
        <w:rPr>
          <w:rFonts w:asciiTheme="majorHAnsi" w:hAnsiTheme="majorHAnsi" w:cstheme="majorHAnsi"/>
          <w:color w:val="000000" w:themeColor="text1"/>
          <w:sz w:val="22"/>
          <w:szCs w:val="22"/>
        </w:rPr>
        <w:t>___________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aus jedem EU-Land; Sitz: Luxemburg.</w:t>
      </w:r>
    </w:p>
    <w:p w14:paraId="319D8BBE" w14:textId="0406B984" w:rsidR="002D54CF" w:rsidRPr="006E7A7A" w:rsidRDefault="002D54CF" w:rsidP="00BF41ED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1107A6FE" w14:textId="7FD812A7" w:rsidR="002D54CF" w:rsidRPr="006E7A7A" w:rsidRDefault="002D54CF" w:rsidP="00BF41ED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Europäischer Auswärtiger Dienst </w:t>
      </w:r>
      <w:r w:rsidR="000E17EB"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(EAD)</w:t>
      </w:r>
      <w:r w:rsidR="000E17EB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br/>
      </w:r>
      <w:r w:rsidR="000E17EB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Der Europäische Auswärtige Dienst (EAD) ist der</w:t>
      </w:r>
      <w:r w:rsidR="000E17EB" w:rsidRPr="006E7A7A">
        <w:rPr>
          <w:rStyle w:val="apple-converted-space"/>
          <w:rFonts w:asciiTheme="majorHAnsi" w:eastAsiaTheme="majorEastAsia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="000E17EB" w:rsidRPr="006E7A7A">
        <w:rPr>
          <w:rStyle w:val="Fett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diplomatische Dienst</w:t>
      </w:r>
      <w:r w:rsidR="000E17EB" w:rsidRPr="006E7A7A">
        <w:rPr>
          <w:rStyle w:val="apple-converted-space"/>
          <w:rFonts w:asciiTheme="majorHAnsi" w:eastAsiaTheme="majorEastAsia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="000E17EB"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der Europäischen Union. Er soll die EU-Außenpolitik kohärenter und wirksamer machen und dadurch Europas internationalen Einfluss stärken.</w:t>
      </w:r>
      <w:r w:rsidR="000E17EB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Sitz:</w:t>
      </w:r>
      <w:r w:rsidR="003732A5" w:rsidRPr="003732A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054630" w:rsidRPr="00054630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Brüssel</w:t>
      </w:r>
      <w:r w:rsidR="000E17EB"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40494CF9" w14:textId="571AB1D8" w:rsidR="000E17EB" w:rsidRPr="006E7A7A" w:rsidRDefault="000E17EB" w:rsidP="00BF41ED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4C759720" w14:textId="08442868" w:rsidR="000E17EB" w:rsidRPr="006E7A7A" w:rsidRDefault="000E17EB" w:rsidP="000E17EB">
      <w:pPr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  <w:shd w:val="clear" w:color="auto" w:fill="FFFFFF"/>
        </w:rPr>
        <w:t>Europäischer Wirtschafts- und Sozialausschuss (EWSA)</w:t>
      </w:r>
    </w:p>
    <w:p w14:paraId="227EED21" w14:textId="20B960F5" w:rsidR="000E17EB" w:rsidRPr="006E7A7A" w:rsidRDefault="000E17EB" w:rsidP="000E17EB">
      <w:pPr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Der EWSA ist eine</w:t>
      </w:r>
      <w:r w:rsidRPr="006E7A7A">
        <w:rPr>
          <w:rStyle w:val="apple-converted-space"/>
          <w:rFonts w:asciiTheme="majorHAnsi" w:eastAsiaTheme="majorEastAsia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Pr="006E7A7A">
        <w:rPr>
          <w:rStyle w:val="Fett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beratende Einrichtung</w:t>
      </w:r>
      <w:r w:rsidRPr="006E7A7A">
        <w:rPr>
          <w:rStyle w:val="apple-converted-space"/>
          <w:rFonts w:asciiTheme="majorHAnsi" w:eastAsiaTheme="majorEastAsia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der EU und setzt sich aus Vertretern von</w:t>
      </w:r>
      <w:r w:rsidRPr="006E7A7A">
        <w:rPr>
          <w:rStyle w:val="apple-converted-space"/>
          <w:rFonts w:asciiTheme="majorHAnsi" w:eastAsiaTheme="majorEastAsia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Pr="006E7A7A">
        <w:rPr>
          <w:rStyle w:val="Fett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Arbeitnehmer- und Arbeitgeberorganisationen und anderen Interessenvertretern</w:t>
      </w:r>
      <w:r w:rsidRPr="006E7A7A">
        <w:rPr>
          <w:rStyle w:val="apple-converted-space"/>
          <w:rFonts w:asciiTheme="majorHAnsi" w:eastAsiaTheme="majorEastAsia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zusammen. Er legt dem Rat der Europäischen Union, der Europäischen Kommission und dem Europäischen Parlament Stellungnahmen zu EU-Themen vor und bildet so eine Brücke zwischen den Entscheidungsorganen der EU und ihren Bürgerinnen und Bürgern.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br/>
        <w:t xml:space="preserve">Über </w:t>
      </w:r>
      <w:r w:rsidR="00FA3EC8" w:rsidRPr="00FA3EC8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300</w:t>
      </w:r>
      <w:r w:rsidR="00FA3EC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Mitglieder aus den einzelnen Staaten. Standort: Brüssel.</w:t>
      </w:r>
    </w:p>
    <w:p w14:paraId="200076D5" w14:textId="4CDB9AFA" w:rsidR="000E17EB" w:rsidRPr="006E7A7A" w:rsidRDefault="000E17EB" w:rsidP="000E17EB">
      <w:pPr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</w:p>
    <w:p w14:paraId="1FD53B3E" w14:textId="45801FCF" w:rsidR="000E17EB" w:rsidRPr="006E7A7A" w:rsidRDefault="000E17EB" w:rsidP="000E17EB">
      <w:pPr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  <w:shd w:val="clear" w:color="auto" w:fill="FFFFFF"/>
        </w:rPr>
        <w:t>Europäischer Ausschuss der Regionen (AdR)</w:t>
      </w:r>
    </w:p>
    <w:p w14:paraId="2ADEE717" w14:textId="233AED3D" w:rsidR="000E17EB" w:rsidRPr="006E7A7A" w:rsidRDefault="000E17EB" w:rsidP="000E17EB">
      <w:pPr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Der Europäische Ausschuss der Regionen (AdR) ist eine</w:t>
      </w:r>
      <w:r w:rsidRPr="006E7A7A">
        <w:rPr>
          <w:rStyle w:val="apple-converted-space"/>
          <w:rFonts w:asciiTheme="majorHAnsi" w:eastAsiaTheme="majorEastAsia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Pr="006E7A7A">
        <w:rPr>
          <w:rStyle w:val="Fett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beratende Einrichtung</w:t>
      </w:r>
      <w:r w:rsidRPr="006E7A7A">
        <w:rPr>
          <w:rStyle w:val="apple-converted-space"/>
          <w:rFonts w:asciiTheme="majorHAnsi" w:eastAsiaTheme="majorEastAsia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der EU, die sich aus </w:t>
      </w:r>
      <w:r w:rsidR="005C7494" w:rsidRPr="00E60D68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lokal</w:t>
      </w:r>
      <w:r w:rsidR="003D7D14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und regional</w:t>
      </w:r>
      <w:r w:rsidR="005C749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gewählten Vertretern aller 27 Mitgliedsländer zusammensetzt. Diese können über den Ausschuss Stellungnahmen zu EU-Rechtsvorschriften abgeben, die sich direkt auf ihre Regionen und Städte auswirken. Sitz: Brüssel.</w:t>
      </w:r>
    </w:p>
    <w:p w14:paraId="762DEF3A" w14:textId="5B3F7AD5" w:rsidR="00792E70" w:rsidRPr="006E7A7A" w:rsidRDefault="00792E70" w:rsidP="000E17EB">
      <w:pPr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</w:p>
    <w:p w14:paraId="2D581379" w14:textId="583C5AF4" w:rsidR="00792E70" w:rsidRPr="006E7A7A" w:rsidRDefault="00792E70" w:rsidP="000E17EB">
      <w:pPr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  <w:shd w:val="clear" w:color="auto" w:fill="FFFFFF"/>
        </w:rPr>
        <w:t>Europäische Investitionsbank (EIB)</w:t>
      </w:r>
    </w:p>
    <w:p w14:paraId="7F8BCE3D" w14:textId="7AD1F8A2" w:rsidR="00D827B8" w:rsidRPr="006E7A7A" w:rsidRDefault="00D827B8" w:rsidP="00D827B8">
      <w:pPr>
        <w:spacing w:after="15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Die Europäische Investitionsbank (EIB) befindet sich in gemeinsamem Besitz der EU-Mitgliedstaaten. Sie hat folgende Zielsetzungen: Europas Potenzial in Bezug auf Wachstum und Beschäftigung voll ausschöpfen, Maßnahmen gegen den Klimawandel unterstützen und. Die EU-Politik außerhalb der EU zu fördern. Standort:</w:t>
      </w:r>
      <w:r w:rsidR="003732A5" w:rsidRPr="003732A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250C36">
        <w:rPr>
          <w:rFonts w:asciiTheme="majorHAnsi" w:hAnsiTheme="majorHAnsi" w:cstheme="majorHAnsi"/>
          <w:color w:val="000000" w:themeColor="text1"/>
          <w:sz w:val="22"/>
          <w:szCs w:val="22"/>
        </w:rPr>
        <w:t>Luxe</w:t>
      </w:r>
      <w:r w:rsidR="00B7106D">
        <w:rPr>
          <w:rFonts w:asciiTheme="majorHAnsi" w:hAnsiTheme="majorHAnsi" w:cstheme="majorHAnsi"/>
          <w:color w:val="000000" w:themeColor="text1"/>
          <w:sz w:val="22"/>
          <w:szCs w:val="22"/>
        </w:rPr>
        <w:t>m</w:t>
      </w:r>
      <w:r w:rsidR="00250C36">
        <w:rPr>
          <w:rFonts w:asciiTheme="majorHAnsi" w:hAnsiTheme="majorHAnsi" w:cstheme="majorHAnsi"/>
          <w:color w:val="000000" w:themeColor="text1"/>
          <w:sz w:val="22"/>
          <w:szCs w:val="22"/>
        </w:rPr>
        <w:t>burg.</w:t>
      </w:r>
    </w:p>
    <w:p w14:paraId="0716272F" w14:textId="59CF3B77" w:rsidR="00D827B8" w:rsidRPr="006E7A7A" w:rsidRDefault="00D827B8" w:rsidP="00D827B8">
      <w:pPr>
        <w:spacing w:after="15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Europäischer Bürgerbeauftragter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br/>
        <w:t>Er/sie untersucht verschiedene Arten von Missständen in der Verwaltungspraxis der EU. Das sind zB: ungerechte Behandlung, Diskriminierung, Machtmissbrauch, Fehlen oder Verweigern von Informationen unnötige Verzögerungen oder fehlerhafte Verfahren. Sitz:</w:t>
      </w:r>
      <w:r w:rsidR="003732A5" w:rsidRPr="003732A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9926CD">
        <w:rPr>
          <w:rFonts w:asciiTheme="majorHAnsi" w:hAnsiTheme="majorHAnsi" w:cstheme="majorHAnsi"/>
          <w:color w:val="000000" w:themeColor="text1"/>
          <w:sz w:val="22"/>
          <w:szCs w:val="22"/>
        </w:rPr>
        <w:t>Straßburg</w:t>
      </w:r>
    </w:p>
    <w:p w14:paraId="77E9F623" w14:textId="04A46331" w:rsidR="00D827B8" w:rsidRPr="006E7A7A" w:rsidRDefault="00D827B8" w:rsidP="00D827B8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Europäischer Datenschutzbeauftragter (EDSB)</w:t>
      </w:r>
    </w:p>
    <w:p w14:paraId="3C3BDE3C" w14:textId="40EE6C70" w:rsidR="00D827B8" w:rsidRPr="006E7A7A" w:rsidRDefault="00D827B8" w:rsidP="00D827B8">
      <w:pPr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Im Rahmen ihrer Aufgaben müssen die EU-Organe und -Einrichtungen gelegentlich</w:t>
      </w:r>
      <w:r w:rsidRPr="006E7A7A">
        <w:rPr>
          <w:rStyle w:val="apple-converted-space"/>
          <w:rFonts w:asciiTheme="majorHAnsi" w:eastAsiaTheme="majorEastAsia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Pr="006E7A7A">
        <w:rPr>
          <w:rStyle w:val="Fett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personenbezogene Informationen ihrer Bürgerinnen und Bürger verarbeiten</w:t>
      </w:r>
      <w:r w:rsidRPr="006E7A7A">
        <w:rPr>
          <w:rStyle w:val="apple-converted-space"/>
          <w:rFonts w:asciiTheme="majorHAnsi" w:eastAsiaTheme="majorEastAsia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– in elektronischer, schriftlicher oder visueller Form. „Verarbeitung“ bedeutet das Sammeln, Erfassen und Speichern sowie Abrufen, Verschicken, Sperren oder Vernichten von Daten. Der Europäische Datenschutzbeauftragte sorgt für die Einhaltung strenger</w:t>
      </w:r>
      <w:r w:rsidRPr="006E7A7A">
        <w:rPr>
          <w:rStyle w:val="apple-converted-space"/>
          <w:rFonts w:asciiTheme="majorHAnsi" w:eastAsiaTheme="majorEastAsia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Pr="006E7A7A">
        <w:rPr>
          <w:rStyle w:val="Fett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Datenschutzregeln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. Sitz:</w:t>
      </w:r>
      <w:r w:rsidR="003732A5" w:rsidRPr="003732A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9926CD">
        <w:rPr>
          <w:rFonts w:asciiTheme="majorHAnsi" w:hAnsiTheme="majorHAnsi" w:cstheme="majorHAnsi"/>
          <w:color w:val="000000" w:themeColor="text1"/>
          <w:sz w:val="22"/>
          <w:szCs w:val="22"/>
        </w:rPr>
        <w:t>Brüssel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3E25018F" w14:textId="2CB9AF94" w:rsidR="00D827B8" w:rsidRPr="006E7A7A" w:rsidRDefault="00D827B8" w:rsidP="00D827B8">
      <w:pPr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</w:p>
    <w:p w14:paraId="1AD41D1C" w14:textId="731514EF" w:rsidR="00BF41ED" w:rsidRPr="006E7A7A" w:rsidRDefault="00D827B8" w:rsidP="00D827B8">
      <w:pPr>
        <w:spacing w:after="15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E7A7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Europäischer Datenschutzausschuss (EDSA)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br/>
        <w:t>Der EDSA ist ein</w:t>
      </w:r>
      <w:r w:rsidR="00C8280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C82803" w:rsidRPr="00C82803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unabhängiges Gremium</w:t>
      </w:r>
      <w:r w:rsidR="00C82803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das dafür sorgt, dass die einschlägigen EU-Vorschriften – insbesondere die Datenschutzgrundverordnung (DSGVO) und die Richtlinie zum Datenschutz bei der Strafverfolgung – in allen Ländern, in denen sie anwendbar sind, einheitlich angewendet werden und die Zusammenarbeit der</w:t>
      </w:r>
      <w:r w:rsidRPr="006E7A7A">
        <w:rPr>
          <w:rStyle w:val="apple-converted-space"/>
          <w:rFonts w:asciiTheme="majorHAnsi" w:hAnsiTheme="majorHAnsi" w:cstheme="majorHAnsi"/>
          <w:color w:val="000000" w:themeColor="text1"/>
          <w:sz w:val="22"/>
          <w:szCs w:val="22"/>
        </w:rPr>
        <w:t> </w:t>
      </w:r>
      <w:r w:rsidRPr="006E7A7A">
        <w:rPr>
          <w:rFonts w:asciiTheme="majorHAnsi" w:hAnsiTheme="majorHAnsi" w:cstheme="majorHAnsi"/>
          <w:color w:val="000000" w:themeColor="text1"/>
          <w:sz w:val="22"/>
          <w:szCs w:val="22"/>
        </w:rPr>
        <w:t>nationalen Datenschutzbehörden gefördert wird.</w:t>
      </w:r>
    </w:p>
    <w:sectPr w:rsidR="00BF41ED" w:rsidRPr="006E7A7A" w:rsidSect="00DB17E3">
      <w:footerReference w:type="default" r:id="rId12"/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0EBC4" w14:textId="77777777" w:rsidR="00110C07" w:rsidRDefault="00110C07" w:rsidP="00AF172C">
      <w:r>
        <w:separator/>
      </w:r>
    </w:p>
  </w:endnote>
  <w:endnote w:type="continuationSeparator" w:id="0">
    <w:p w14:paraId="5205C573" w14:textId="77777777" w:rsidR="00110C07" w:rsidRDefault="00110C07" w:rsidP="00AF1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A3FCC" w14:textId="1F6EBC26" w:rsidR="00AF172C" w:rsidRPr="00AF172C" w:rsidRDefault="00B87335" w:rsidP="00820F82">
    <w:pPr>
      <w:pStyle w:val="Fuzeile"/>
      <w:rPr>
        <w:sz w:val="14"/>
      </w:rPr>
    </w:pPr>
    <w:r w:rsidRPr="00990CC7">
      <w:rPr>
        <w:rFonts w:asciiTheme="majorHAnsi" w:hAnsiTheme="majorHAnsi" w:cstheme="majorHAnsi"/>
        <w:noProof/>
        <w:sz w:val="14"/>
        <w:lang w:eastAsia="de-AT"/>
      </w:rPr>
      <w:drawing>
        <wp:anchor distT="0" distB="0" distL="114300" distR="114300" simplePos="0" relativeHeight="251659264" behindDoc="1" locked="0" layoutInCell="1" allowOverlap="1" wp14:anchorId="5281DA5C" wp14:editId="5AA2DB1B">
          <wp:simplePos x="0" y="0"/>
          <wp:positionH relativeFrom="column">
            <wp:posOffset>-186690</wp:posOffset>
          </wp:positionH>
          <wp:positionV relativeFrom="paragraph">
            <wp:posOffset>-90170</wp:posOffset>
          </wp:positionV>
          <wp:extent cx="789305" cy="366395"/>
          <wp:effectExtent l="0" t="0" r="0" b="0"/>
          <wp:wrapTight wrapText="bothSides">
            <wp:wrapPolygon edited="0">
              <wp:start x="0" y="0"/>
              <wp:lineTo x="0" y="20215"/>
              <wp:lineTo x="20853" y="20215"/>
              <wp:lineTo x="20853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wac schwar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305" cy="366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90CC7">
      <w:rPr>
        <w:rFonts w:asciiTheme="majorHAnsi" w:hAnsiTheme="majorHAnsi" w:cstheme="majorHAnsi"/>
        <w:sz w:val="14"/>
      </w:rPr>
      <w:sym w:font="Wingdings" w:char="F02A"/>
    </w:r>
    <w:r w:rsidRPr="00990CC7">
      <w:rPr>
        <w:rFonts w:asciiTheme="majorHAnsi" w:hAnsiTheme="majorHAnsi" w:cstheme="majorHAnsi"/>
        <w:sz w:val="14"/>
      </w:rPr>
      <w:t xml:space="preserve"> </w:t>
    </w:r>
    <w:hyperlink r:id="rId2" w:history="1">
      <w:r w:rsidR="00125E47" w:rsidRPr="00990CC7">
        <w:rPr>
          <w:rStyle w:val="Hyperlink"/>
          <w:rFonts w:asciiTheme="majorHAnsi" w:hAnsiTheme="majorHAnsi" w:cstheme="majorHAnsi"/>
          <w:sz w:val="14"/>
        </w:rPr>
        <w:t>christian.schwaiger@hakzell.at</w:t>
      </w:r>
    </w:hyperlink>
    <w:r>
      <w:rPr>
        <w:sz w:val="14"/>
      </w:rPr>
      <w:t xml:space="preserve"> </w:t>
    </w:r>
    <w:r w:rsidR="00820F82">
      <w:rPr>
        <w:sz w:val="14"/>
      </w:rPr>
      <w:tab/>
    </w:r>
    <w:r w:rsidR="00523045">
      <w:rPr>
        <w:sz w:val="14"/>
      </w:rPr>
      <w:tab/>
    </w:r>
    <w:r w:rsidR="00990CC7" w:rsidRPr="00990CC7">
      <w:rPr>
        <w:rFonts w:asciiTheme="majorHAnsi" w:hAnsiTheme="majorHAnsi" w:cstheme="majorHAnsi"/>
        <w:sz w:val="14"/>
      </w:rPr>
      <w:fldChar w:fldCharType="begin"/>
    </w:r>
    <w:r w:rsidR="00990CC7" w:rsidRPr="00990CC7">
      <w:rPr>
        <w:rFonts w:asciiTheme="majorHAnsi" w:hAnsiTheme="majorHAnsi" w:cstheme="majorHAnsi"/>
        <w:sz w:val="14"/>
      </w:rPr>
      <w:instrText xml:space="preserve"> FILENAME  \* MERGEFORMAT </w:instrText>
    </w:r>
    <w:r w:rsidR="00990CC7" w:rsidRPr="00990CC7">
      <w:rPr>
        <w:rFonts w:asciiTheme="majorHAnsi" w:hAnsiTheme="majorHAnsi" w:cstheme="majorHAnsi"/>
        <w:sz w:val="14"/>
      </w:rPr>
      <w:fldChar w:fldCharType="separate"/>
    </w:r>
    <w:r w:rsidR="00990CC7" w:rsidRPr="00990CC7">
      <w:rPr>
        <w:rFonts w:asciiTheme="majorHAnsi" w:hAnsiTheme="majorHAnsi" w:cstheme="majorHAnsi"/>
        <w:noProof/>
        <w:sz w:val="14"/>
      </w:rPr>
      <w:t>EU-Institutionen.docx</w:t>
    </w:r>
    <w:r w:rsidR="00990CC7" w:rsidRPr="00990CC7">
      <w:rPr>
        <w:rFonts w:asciiTheme="majorHAnsi" w:hAnsiTheme="majorHAnsi" w:cstheme="majorHAnsi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5271F" w14:textId="77777777" w:rsidR="00110C07" w:rsidRDefault="00110C07" w:rsidP="00AF172C">
      <w:r>
        <w:separator/>
      </w:r>
    </w:p>
  </w:footnote>
  <w:footnote w:type="continuationSeparator" w:id="0">
    <w:p w14:paraId="23AA57D8" w14:textId="77777777" w:rsidR="00110C07" w:rsidRDefault="00110C07" w:rsidP="00AF1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F16"/>
    <w:multiLevelType w:val="multilevel"/>
    <w:tmpl w:val="1FE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570AD"/>
    <w:multiLevelType w:val="multilevel"/>
    <w:tmpl w:val="BB38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B775D"/>
    <w:multiLevelType w:val="hybridMultilevel"/>
    <w:tmpl w:val="B7C0E09A"/>
    <w:lvl w:ilvl="0" w:tplc="F9C0FE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623A0"/>
    <w:multiLevelType w:val="multilevel"/>
    <w:tmpl w:val="D7DA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67666"/>
    <w:multiLevelType w:val="multilevel"/>
    <w:tmpl w:val="0C9A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E72C3"/>
    <w:multiLevelType w:val="multilevel"/>
    <w:tmpl w:val="F14C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E1F91"/>
    <w:multiLevelType w:val="multilevel"/>
    <w:tmpl w:val="72FCBF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77EAD"/>
    <w:multiLevelType w:val="multilevel"/>
    <w:tmpl w:val="F1D6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F051D"/>
    <w:multiLevelType w:val="multilevel"/>
    <w:tmpl w:val="D47E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7529B"/>
    <w:multiLevelType w:val="multilevel"/>
    <w:tmpl w:val="BB58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31A03"/>
    <w:multiLevelType w:val="multilevel"/>
    <w:tmpl w:val="4BB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C96F1A"/>
    <w:multiLevelType w:val="multilevel"/>
    <w:tmpl w:val="175C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438403">
    <w:abstractNumId w:val="6"/>
  </w:num>
  <w:num w:numId="2" w16cid:durableId="969169546">
    <w:abstractNumId w:val="10"/>
  </w:num>
  <w:num w:numId="3" w16cid:durableId="1707562416">
    <w:abstractNumId w:val="11"/>
  </w:num>
  <w:num w:numId="4" w16cid:durableId="640574869">
    <w:abstractNumId w:val="2"/>
  </w:num>
  <w:num w:numId="5" w16cid:durableId="2047832693">
    <w:abstractNumId w:val="0"/>
  </w:num>
  <w:num w:numId="6" w16cid:durableId="243223963">
    <w:abstractNumId w:val="8"/>
  </w:num>
  <w:num w:numId="7" w16cid:durableId="2060207953">
    <w:abstractNumId w:val="4"/>
  </w:num>
  <w:num w:numId="8" w16cid:durableId="1783840058">
    <w:abstractNumId w:val="9"/>
  </w:num>
  <w:num w:numId="9" w16cid:durableId="393627332">
    <w:abstractNumId w:val="7"/>
  </w:num>
  <w:num w:numId="10" w16cid:durableId="1535649613">
    <w:abstractNumId w:val="7"/>
  </w:num>
  <w:num w:numId="11" w16cid:durableId="1537812854">
    <w:abstractNumId w:val="5"/>
  </w:num>
  <w:num w:numId="12" w16cid:durableId="1827210306">
    <w:abstractNumId w:val="1"/>
  </w:num>
  <w:num w:numId="13" w16cid:durableId="1254704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2C"/>
    <w:rsid w:val="000005ED"/>
    <w:rsid w:val="00045053"/>
    <w:rsid w:val="00054630"/>
    <w:rsid w:val="000637EE"/>
    <w:rsid w:val="000657E6"/>
    <w:rsid w:val="000955C5"/>
    <w:rsid w:val="000D402C"/>
    <w:rsid w:val="000E17EB"/>
    <w:rsid w:val="00104A50"/>
    <w:rsid w:val="00110C07"/>
    <w:rsid w:val="00125E47"/>
    <w:rsid w:val="001522A0"/>
    <w:rsid w:val="00176223"/>
    <w:rsid w:val="0018020D"/>
    <w:rsid w:val="00194140"/>
    <w:rsid w:val="001A1A28"/>
    <w:rsid w:val="001C7DFC"/>
    <w:rsid w:val="002118C4"/>
    <w:rsid w:val="00214C5A"/>
    <w:rsid w:val="00232014"/>
    <w:rsid w:val="00234AEB"/>
    <w:rsid w:val="00237144"/>
    <w:rsid w:val="00250C36"/>
    <w:rsid w:val="002776C3"/>
    <w:rsid w:val="002C3B99"/>
    <w:rsid w:val="002D20CB"/>
    <w:rsid w:val="002D54CF"/>
    <w:rsid w:val="002F4D26"/>
    <w:rsid w:val="003026B2"/>
    <w:rsid w:val="003028E1"/>
    <w:rsid w:val="00315491"/>
    <w:rsid w:val="00343F46"/>
    <w:rsid w:val="003732A5"/>
    <w:rsid w:val="00387C81"/>
    <w:rsid w:val="00394A7A"/>
    <w:rsid w:val="003A1F4E"/>
    <w:rsid w:val="003B009C"/>
    <w:rsid w:val="003B5F3B"/>
    <w:rsid w:val="003D7D14"/>
    <w:rsid w:val="003E2728"/>
    <w:rsid w:val="00400272"/>
    <w:rsid w:val="0040728B"/>
    <w:rsid w:val="00427A06"/>
    <w:rsid w:val="0046341A"/>
    <w:rsid w:val="004723CE"/>
    <w:rsid w:val="00476F3E"/>
    <w:rsid w:val="00496D57"/>
    <w:rsid w:val="004A0361"/>
    <w:rsid w:val="00500CD9"/>
    <w:rsid w:val="00503344"/>
    <w:rsid w:val="00523045"/>
    <w:rsid w:val="0054488F"/>
    <w:rsid w:val="00560391"/>
    <w:rsid w:val="005962AC"/>
    <w:rsid w:val="005A221D"/>
    <w:rsid w:val="005B068B"/>
    <w:rsid w:val="005C7494"/>
    <w:rsid w:val="005D102B"/>
    <w:rsid w:val="005F4DAF"/>
    <w:rsid w:val="006239AB"/>
    <w:rsid w:val="00625C8E"/>
    <w:rsid w:val="00685A55"/>
    <w:rsid w:val="006B2BC7"/>
    <w:rsid w:val="006D25ED"/>
    <w:rsid w:val="006D3267"/>
    <w:rsid w:val="006E7A7A"/>
    <w:rsid w:val="007141F5"/>
    <w:rsid w:val="00732ADD"/>
    <w:rsid w:val="00733796"/>
    <w:rsid w:val="00736537"/>
    <w:rsid w:val="007849EC"/>
    <w:rsid w:val="00792E70"/>
    <w:rsid w:val="00793F38"/>
    <w:rsid w:val="007946FC"/>
    <w:rsid w:val="008041E3"/>
    <w:rsid w:val="008204E9"/>
    <w:rsid w:val="00820F82"/>
    <w:rsid w:val="008251C2"/>
    <w:rsid w:val="00825E4C"/>
    <w:rsid w:val="008379A3"/>
    <w:rsid w:val="00852514"/>
    <w:rsid w:val="00873944"/>
    <w:rsid w:val="00881A8F"/>
    <w:rsid w:val="0089747A"/>
    <w:rsid w:val="008A4BAD"/>
    <w:rsid w:val="00916FFE"/>
    <w:rsid w:val="009618E4"/>
    <w:rsid w:val="00987E53"/>
    <w:rsid w:val="00990CC7"/>
    <w:rsid w:val="009926CD"/>
    <w:rsid w:val="009A51E5"/>
    <w:rsid w:val="009C013F"/>
    <w:rsid w:val="009C7518"/>
    <w:rsid w:val="009D73C4"/>
    <w:rsid w:val="009E6D8D"/>
    <w:rsid w:val="00A727D7"/>
    <w:rsid w:val="00AC60B0"/>
    <w:rsid w:val="00AC6EF9"/>
    <w:rsid w:val="00AF172C"/>
    <w:rsid w:val="00AF3B6B"/>
    <w:rsid w:val="00B057E8"/>
    <w:rsid w:val="00B07B94"/>
    <w:rsid w:val="00B14C84"/>
    <w:rsid w:val="00B30DF8"/>
    <w:rsid w:val="00B52EF6"/>
    <w:rsid w:val="00B559C7"/>
    <w:rsid w:val="00B7106D"/>
    <w:rsid w:val="00B7614E"/>
    <w:rsid w:val="00B87335"/>
    <w:rsid w:val="00BC22F0"/>
    <w:rsid w:val="00BC390D"/>
    <w:rsid w:val="00BF41ED"/>
    <w:rsid w:val="00BF50AB"/>
    <w:rsid w:val="00C02009"/>
    <w:rsid w:val="00C17A89"/>
    <w:rsid w:val="00C41A41"/>
    <w:rsid w:val="00C53DFD"/>
    <w:rsid w:val="00C56A11"/>
    <w:rsid w:val="00C727AB"/>
    <w:rsid w:val="00C81CF2"/>
    <w:rsid w:val="00C82803"/>
    <w:rsid w:val="00D05752"/>
    <w:rsid w:val="00D30C0D"/>
    <w:rsid w:val="00D36CE2"/>
    <w:rsid w:val="00D80902"/>
    <w:rsid w:val="00D827B8"/>
    <w:rsid w:val="00DB17E3"/>
    <w:rsid w:val="00DB67E5"/>
    <w:rsid w:val="00DF1C96"/>
    <w:rsid w:val="00DF74CD"/>
    <w:rsid w:val="00E05DB1"/>
    <w:rsid w:val="00E43835"/>
    <w:rsid w:val="00E60D68"/>
    <w:rsid w:val="00E74625"/>
    <w:rsid w:val="00E928CD"/>
    <w:rsid w:val="00EA20FF"/>
    <w:rsid w:val="00EB127B"/>
    <w:rsid w:val="00EC7EAC"/>
    <w:rsid w:val="00EE5A9A"/>
    <w:rsid w:val="00F176E0"/>
    <w:rsid w:val="00F23F37"/>
    <w:rsid w:val="00F354CB"/>
    <w:rsid w:val="00F41692"/>
    <w:rsid w:val="00F90399"/>
    <w:rsid w:val="00F966E9"/>
    <w:rsid w:val="00FA015F"/>
    <w:rsid w:val="00FA3EC8"/>
    <w:rsid w:val="00FA7405"/>
    <w:rsid w:val="00FD33C7"/>
    <w:rsid w:val="00FE3392"/>
    <w:rsid w:val="00FF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1B8F4"/>
  <w15:chartTrackingRefBased/>
  <w15:docId w15:val="{6BF602F7-D854-45C4-AA86-614976B9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4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05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5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575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5752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AF172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172C"/>
  </w:style>
  <w:style w:type="paragraph" w:styleId="Fuzeile">
    <w:name w:val="footer"/>
    <w:basedOn w:val="Standard"/>
    <w:link w:val="FuzeileZchn"/>
    <w:uiPriority w:val="99"/>
    <w:unhideWhenUsed/>
    <w:rsid w:val="00AF172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172C"/>
  </w:style>
  <w:style w:type="character" w:styleId="Hyperlink">
    <w:name w:val="Hyperlink"/>
    <w:basedOn w:val="Absatz-Standardschriftart"/>
    <w:uiPriority w:val="99"/>
    <w:unhideWhenUsed/>
    <w:rsid w:val="00E43835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27A0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bsatz-Standardschriftart"/>
    <w:rsid w:val="009C7518"/>
  </w:style>
  <w:style w:type="table" w:styleId="Tabellenraster">
    <w:name w:val="Table Grid"/>
    <w:basedOn w:val="NormaleTabelle"/>
    <w:uiPriority w:val="39"/>
    <w:rsid w:val="009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18020D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6D25ED"/>
    <w:pPr>
      <w:spacing w:before="100" w:beforeAutospacing="1" w:after="100" w:afterAutospacing="1"/>
    </w:pPr>
  </w:style>
  <w:style w:type="paragraph" w:customStyle="1" w:styleId="paragraph">
    <w:name w:val="paragraph"/>
    <w:basedOn w:val="Standard"/>
    <w:rsid w:val="006B2BC7"/>
    <w:pPr>
      <w:spacing w:before="100" w:beforeAutospacing="1" w:after="100" w:afterAutospacing="1"/>
    </w:pPr>
  </w:style>
  <w:style w:type="character" w:customStyle="1" w:styleId="normaltextrun">
    <w:name w:val="normaltextrun"/>
    <w:basedOn w:val="Absatz-Standardschriftart"/>
    <w:rsid w:val="006B2BC7"/>
  </w:style>
  <w:style w:type="character" w:customStyle="1" w:styleId="eop">
    <w:name w:val="eop"/>
    <w:basedOn w:val="Absatz-Standardschriftart"/>
    <w:rsid w:val="006B2BC7"/>
  </w:style>
  <w:style w:type="paragraph" w:styleId="Listenabsatz">
    <w:name w:val="List Paragraph"/>
    <w:basedOn w:val="Standard"/>
    <w:uiPriority w:val="34"/>
    <w:qFormat/>
    <w:rsid w:val="008041E3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FD33C7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BF41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8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6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3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hristian.schwaiger@hakzell.at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749439BD830E47A8F5C2B90416378E" ma:contentTypeVersion="10" ma:contentTypeDescription="Ein neues Dokument erstellen." ma:contentTypeScope="" ma:versionID="a53e6696335a2f1fd55cf63bc537dcf0">
  <xsd:schema xmlns:xsd="http://www.w3.org/2001/XMLSchema" xmlns:xs="http://www.w3.org/2001/XMLSchema" xmlns:p="http://schemas.microsoft.com/office/2006/metadata/properties" xmlns:ns2="c70c0854-ee35-4231-89ec-b4603ea7f282" xmlns:ns3="9be8e2d9-c5e8-4851-ad23-8d4f2391425e" targetNamespace="http://schemas.microsoft.com/office/2006/metadata/properties" ma:root="true" ma:fieldsID="fa88c5787efc92e34c5ded10b976e8e7" ns2:_="" ns3:_="">
    <xsd:import namespace="c70c0854-ee35-4231-89ec-b4603ea7f282"/>
    <xsd:import namespace="9be8e2d9-c5e8-4851-ad23-8d4f23914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c0854-ee35-4231-89ec-b4603ea7f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f2ac57a9-bdf5-406a-8e3b-88277e84d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8e2d9-c5e8-4851-ad23-8d4f2391425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c99960a-f38f-4a6d-8342-a969f3f9a843}" ma:internalName="TaxCatchAll" ma:showField="CatchAllData" ma:web="9be8e2d9-c5e8-4851-ad23-8d4f239142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E4D08A-18D2-0345-876A-F4F1747A49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5FB615-A753-4ED4-8260-4A4AE625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DCB978-E034-4654-8F39-0F60CA5C2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c0854-ee35-4231-89ec-b4603ea7f282"/>
    <ds:schemaRef ds:uri="9be8e2d9-c5e8-4851-ad23-8d4f239142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911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BHAK/BHAS Zell am See</Company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Schwaiger</dc:creator>
  <cp:keywords/>
  <dc:description/>
  <cp:lastModifiedBy>Hofmann David</cp:lastModifiedBy>
  <cp:revision>48</cp:revision>
  <cp:lastPrinted>2020-10-07T13:58:00Z</cp:lastPrinted>
  <dcterms:created xsi:type="dcterms:W3CDTF">2021-10-13T08:39:00Z</dcterms:created>
  <dcterms:modified xsi:type="dcterms:W3CDTF">2023-03-21T10:16:00Z</dcterms:modified>
</cp:coreProperties>
</file>