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
        <w:rPr>
          <w:b w:val="0"/>
          <w:sz w:val="20"/>
        </w:rPr>
      </w:r>
    </w:p>
    <w:p>
      <w:r>
        <w:rPr>
          <w:b/>
          <w:sz w:val="20"/>
        </w:rPr>
        <w:t>AUTOEVALUACIÓN</w:t>
      </w:r>
    </w:p>
    <w:tbl>
      <w:tblPr>
        <w:tblStyle w:val="Tablaconcuadrcula"/>
        <w:tblW w:type="auto" w:w="0"/>
        <w:tblLook w:firstColumn="1" w:firstRow="1" w:lastColumn="0" w:lastRow="0" w:noHBand="0" w:noVBand="1" w:val="04A0"/>
      </w:tblPr>
      <w:tblGrid>
        <w:gridCol w:w="4335"/>
        <w:gridCol w:w="4335"/>
        <w:gridCol w:w="4335"/>
      </w:tblGrid>
      <w:tr>
        <w:tc>
          <w:tcPr>
            <w:tcW w:type="dxa" w:w="4335"/>
          </w:tcPr>
          <w:p>
            <w:r>
              <w:rPr>
                <w:b/>
                <w:sz w:val="18"/>
              </w:rPr>
              <w:t>Indicador</w:t>
            </w:r>
          </w:p>
        </w:tc>
        <w:tc>
          <w:tcPr>
            <w:tcW w:type="dxa" w:w="4335"/>
          </w:tcPr>
          <w:p>
            <w:r>
              <w:rPr>
                <w:b/>
                <w:sz w:val="18"/>
              </w:rPr>
              <w:t>Nivel propuesto</w:t>
            </w:r>
          </w:p>
        </w:tc>
        <w:tc>
          <w:tcPr>
            <w:tcW w:type="dxa" w:w="4335"/>
          </w:tcPr>
          <w:p>
            <w:r>
              <w:rPr>
                <w:b/>
                <w:sz w:val="18"/>
              </w:rPr>
              <w:t>Por qué</w:t>
            </w:r>
          </w:p>
        </w:tc>
      </w:tr>
      <w:tr>
        <w:tc>
          <w:tcPr>
            <w:tcW w:type="dxa" w:w="4335"/>
          </w:tcPr>
          <w:p>
            <w:r>
              <w:rPr>
                <w:b w:val="0"/>
                <w:sz w:val="18"/>
              </w:rPr>
              <w:t>1. Describe el proyecto y su relevancia</w:t>
            </w:r>
          </w:p>
        </w:tc>
        <w:tc>
          <w:tcPr>
            <w:tcW w:type="dxa" w:w="4335"/>
          </w:tcPr>
          <w:p>
            <w:r>
              <w:rPr>
                <w:b w:val="0"/>
                <w:sz w:val="18"/>
              </w:rPr>
              <w:t>Completamente logrado</w:t>
            </w:r>
          </w:p>
        </w:tc>
        <w:tc>
          <w:tcPr>
            <w:tcW w:type="dxa" w:w="4335"/>
          </w:tcPr>
          <w:p>
            <w:r>
              <w:rPr>
                <w:b w:val="0"/>
                <w:sz w:val="18"/>
              </w:rPr>
              <w:t>La guía describe FeriaPlace y su aporte a administradores y comerciantes de ferias.</w:t>
            </w:r>
          </w:p>
        </w:tc>
      </w:tr>
      <w:tr>
        <w:tc>
          <w:tcPr>
            <w:tcW w:type="dxa" w:w="4335"/>
          </w:tcPr>
          <w:p>
            <w:r>
              <w:rPr>
                <w:b w:val="0"/>
                <w:sz w:val="18"/>
              </w:rPr>
              <w:t>2. Relación con el perfil de egreso</w:t>
            </w:r>
          </w:p>
        </w:tc>
        <w:tc>
          <w:tcPr>
            <w:tcW w:type="dxa" w:w="4335"/>
          </w:tcPr>
          <w:p>
            <w:r>
              <w:rPr>
                <w:b w:val="0"/>
                <w:sz w:val="18"/>
              </w:rPr>
              <w:t>Completamente logrado</w:t>
            </w:r>
          </w:p>
        </w:tc>
        <w:tc>
          <w:tcPr>
            <w:tcW w:type="dxa" w:w="4335"/>
          </w:tcPr>
          <w:p>
            <w:r>
              <w:rPr>
                <w:b w:val="0"/>
                <w:sz w:val="18"/>
              </w:rPr>
              <w:t>Nombra 5 competencias y explica cómo se usan (modelo de datos, arquitectura, desarrollo, consultas).</w:t>
            </w:r>
          </w:p>
        </w:tc>
      </w:tr>
      <w:tr>
        <w:tc>
          <w:tcPr>
            <w:tcW w:type="dxa" w:w="4335"/>
          </w:tcPr>
          <w:p>
            <w:r>
              <w:rPr>
                <w:b w:val="0"/>
                <w:sz w:val="18"/>
              </w:rPr>
              <w:t>3. Relación con intereses profesionales</w:t>
            </w:r>
          </w:p>
        </w:tc>
        <w:tc>
          <w:tcPr>
            <w:tcW w:type="dxa" w:w="4335"/>
          </w:tcPr>
          <w:p>
            <w:r>
              <w:rPr>
                <w:b w:val="0"/>
                <w:sz w:val="18"/>
              </w:rPr>
              <w:t>Completamente logrado</w:t>
            </w:r>
          </w:p>
        </w:tc>
        <w:tc>
          <w:tcPr>
            <w:tcW w:type="dxa" w:w="4335"/>
          </w:tcPr>
          <w:p>
            <w:r>
              <w:rPr>
                <w:b w:val="0"/>
                <w:sz w:val="18"/>
              </w:rPr>
              <w:t>Conecta desarrollo de software y bases de datos con el proyecto.</w:t>
            </w:r>
          </w:p>
        </w:tc>
      </w:tr>
      <w:tr>
        <w:tc>
          <w:tcPr>
            <w:tcW w:type="dxa" w:w="4335"/>
          </w:tcPr>
          <w:p>
            <w:r>
              <w:rPr>
                <w:b w:val="0"/>
                <w:sz w:val="18"/>
              </w:rPr>
              <w:t>4. Factibilidad</w:t>
            </w:r>
          </w:p>
        </w:tc>
        <w:tc>
          <w:tcPr>
            <w:tcW w:type="dxa" w:w="4335"/>
          </w:tcPr>
          <w:p>
            <w:r>
              <w:rPr>
                <w:b w:val="0"/>
                <w:sz w:val="18"/>
              </w:rPr>
              <w:t>Completamente logrado</w:t>
            </w:r>
          </w:p>
        </w:tc>
        <w:tc>
          <w:tcPr>
            <w:tcW w:type="dxa" w:w="4335"/>
          </w:tcPr>
          <w:p>
            <w:r>
              <w:rPr>
                <w:b w:val="0"/>
                <w:sz w:val="18"/>
              </w:rPr>
              <w:t>Considera tiempo, materiales, factores externos y cómo enfrentar las dificultades.</w:t>
            </w:r>
          </w:p>
        </w:tc>
      </w:tr>
      <w:tr>
        <w:tc>
          <w:tcPr>
            <w:tcW w:type="dxa" w:w="4335"/>
          </w:tcPr>
          <w:p>
            <w:r>
              <w:rPr>
                <w:b w:val="0"/>
                <w:sz w:val="18"/>
              </w:rPr>
              <w:t>5. Objetivos</w:t>
            </w:r>
          </w:p>
        </w:tc>
        <w:tc>
          <w:tcPr>
            <w:tcW w:type="dxa" w:w="4335"/>
          </w:tcPr>
          <w:p>
            <w:r>
              <w:rPr>
                <w:b w:val="0"/>
                <w:sz w:val="18"/>
              </w:rPr>
              <w:t>Completamente logrado</w:t>
            </w:r>
          </w:p>
        </w:tc>
        <w:tc>
          <w:tcPr>
            <w:tcW w:type="dxa" w:w="4335"/>
          </w:tcPr>
          <w:p>
            <w:r>
              <w:rPr>
                <w:b w:val="0"/>
                <w:sz w:val="18"/>
              </w:rPr>
              <w:t>Claros, con verbo en infinitivo y alineados con lo que hace la app (ferias de temporada, plano y solicitudes).</w:t>
            </w:r>
          </w:p>
        </w:tc>
      </w:tr>
      <w:tr>
        <w:tc>
          <w:tcPr>
            <w:tcW w:type="dxa" w:w="4335"/>
          </w:tcPr>
          <w:p>
            <w:r>
              <w:rPr>
                <w:b w:val="0"/>
                <w:sz w:val="18"/>
              </w:rPr>
              <w:t>6. Metodología</w:t>
            </w:r>
          </w:p>
        </w:tc>
        <w:tc>
          <w:tcPr>
            <w:tcW w:type="dxa" w:w="4335"/>
          </w:tcPr>
          <w:p>
            <w:r>
              <w:rPr>
                <w:b w:val="0"/>
                <w:sz w:val="18"/>
              </w:rPr>
              <w:t>Completamente logrado</w:t>
            </w:r>
          </w:p>
        </w:tc>
        <w:tc>
          <w:tcPr>
            <w:tcW w:type="dxa" w:w="4335"/>
          </w:tcPr>
          <w:p>
            <w:r>
              <w:rPr>
                <w:b w:val="0"/>
                <w:sz w:val="18"/>
              </w:rPr>
              <w:t>Ágil incremental en sprints de 2 semanas con etapas definidas; las fichas de avance lo respaldan.</w:t>
            </w:r>
          </w:p>
        </w:tc>
      </w:tr>
      <w:tr>
        <w:tc>
          <w:tcPr>
            <w:tcW w:type="dxa" w:w="4335"/>
          </w:tcPr>
          <w:p>
            <w:r>
              <w:rPr>
                <w:b w:val="0"/>
                <w:sz w:val="18"/>
              </w:rPr>
              <w:t>7. Plan de trabajo</w:t>
            </w:r>
          </w:p>
        </w:tc>
        <w:tc>
          <w:tcPr>
            <w:tcW w:type="dxa" w:w="4335"/>
          </w:tcPr>
          <w:p>
            <w:r>
              <w:rPr>
                <w:b w:val="0"/>
                <w:sz w:val="18"/>
              </w:rPr>
              <w:t>Completamente logrado</w:t>
            </w:r>
          </w:p>
        </w:tc>
        <w:tc>
          <w:tcPr>
            <w:tcW w:type="dxa" w:w="4335"/>
          </w:tcPr>
          <w:p>
            <w:r>
              <w:rPr>
                <w:b w:val="0"/>
                <w:sz w:val="18"/>
              </w:rPr>
              <w:t>Incluye recursos, duración, responsable, facilitadores y obstaculizadores.</w:t>
            </w:r>
          </w:p>
        </w:tc>
      </w:tr>
      <w:tr>
        <w:tc>
          <w:tcPr>
            <w:tcW w:type="dxa" w:w="4335"/>
          </w:tcPr>
          <w:p>
            <w:r>
              <w:rPr>
                <w:b w:val="0"/>
                <w:sz w:val="18"/>
              </w:rPr>
              <w:t>8. Evidencias</w:t>
            </w:r>
          </w:p>
        </w:tc>
        <w:tc>
          <w:tcPr>
            <w:tcW w:type="dxa" w:w="4335"/>
          </w:tcPr>
          <w:p>
            <w:r>
              <w:rPr>
                <w:b w:val="0"/>
                <w:sz w:val="18"/>
              </w:rPr>
              <w:t>Completamente logrado</w:t>
            </w:r>
          </w:p>
        </w:tc>
        <w:tc>
          <w:tcPr>
            <w:tcW w:type="dxa" w:w="4335"/>
          </w:tcPr>
          <w:p>
            <w:r>
              <w:rPr>
                <w:b w:val="0"/>
                <w:sz w:val="18"/>
              </w:rPr>
              <w:t>Cada evidencia está justificada y coincide con lo que la app ya entrega.</w:t>
            </w:r>
          </w:p>
        </w:tc>
      </w:tr>
      <w:tr>
        <w:tc>
          <w:tcPr>
            <w:tcW w:type="dxa" w:w="4335"/>
          </w:tcPr>
          <w:p>
            <w:r>
              <w:rPr>
                <w:b w:val="0"/>
                <w:sz w:val="18"/>
              </w:rPr>
              <w:t>9. Redacción, ortografía y citas</w:t>
            </w:r>
          </w:p>
        </w:tc>
        <w:tc>
          <w:tcPr>
            <w:tcW w:type="dxa" w:w="4335"/>
          </w:tcPr>
          <w:p>
            <w:r>
              <w:rPr>
                <w:b w:val="0"/>
                <w:sz w:val="18"/>
              </w:rPr>
              <w:t>Logrado</w:t>
            </w:r>
          </w:p>
        </w:tc>
        <w:tc>
          <w:tcPr>
            <w:tcW w:type="dxa" w:w="4335"/>
          </w:tcPr>
          <w:p>
            <w:r>
              <w:rPr>
                <w:b w:val="0"/>
                <w:sz w:val="18"/>
              </w:rPr>
              <w:t>Había errores menores (“Ign Informatica”, “Maipu”, punto doble) ya corregidos; no hay citas ni referencias.</w:t>
            </w:r>
          </w:p>
        </w:tc>
      </w:tr>
      <w:tr>
        <w:tc>
          <w:tcPr>
            <w:tcW w:type="dxa" w:w="4335"/>
          </w:tcPr>
          <w:p>
            <w:r>
              <w:rPr>
                <w:b w:val="0"/>
                <w:sz w:val="18"/>
              </w:rPr>
              <w:t>10. Formato de informe</w:t>
            </w:r>
          </w:p>
        </w:tc>
        <w:tc>
          <w:tcPr>
            <w:tcW w:type="dxa" w:w="4335"/>
          </w:tcPr>
          <w:p>
            <w:r>
              <w:rPr>
                <w:b w:val="0"/>
                <w:sz w:val="18"/>
              </w:rPr>
              <w:t>Logrado</w:t>
            </w:r>
          </w:p>
        </w:tc>
        <w:tc>
          <w:tcPr>
            <w:tcW w:type="dxa" w:w="4335"/>
          </w:tcPr>
          <w:p>
            <w:r>
              <w:rPr>
                <w:b w:val="0"/>
                <w:sz w:val="18"/>
              </w:rPr>
              <w:t>Falta revisar portada, índice y número de página según el formato de la escuela.</w:t>
            </w:r>
          </w:p>
        </w:tc>
      </w:tr>
      <w:tr>
        <w:tc>
          <w:tcPr>
            <w:tcW w:type="dxa" w:w="4335"/>
          </w:tcPr>
          <w:p>
            <w:r>
              <w:rPr>
                <w:b w:val="0"/>
                <w:sz w:val="18"/>
              </w:rPr>
              <w:t>11. Indicadores de calidad</w:t>
            </w:r>
          </w:p>
        </w:tc>
        <w:tc>
          <w:tcPr>
            <w:tcW w:type="dxa" w:w="4335"/>
          </w:tcPr>
          <w:p>
            <w:r>
              <w:rPr>
                <w:b w:val="0"/>
                <w:sz w:val="18"/>
              </w:rPr>
              <w:t>Logrado</w:t>
            </w:r>
          </w:p>
        </w:tc>
        <w:tc>
          <w:tcPr>
            <w:tcW w:type="dxa" w:w="4335"/>
          </w:tcPr>
          <w:p>
            <w:r>
              <w:rPr>
                <w:b w:val="0"/>
                <w:sz w:val="18"/>
              </w:rPr>
              <w:t>Presentes: 2.1, 2.2, 3.1, 3.2, 4.1 y 4.2. Aún no: 1.2 y 1.3 (pruebas formales y mejoras por pruebas) y 4.3 (implantación).</w:t>
            </w:r>
          </w:p>
        </w:tc>
      </w:tr>
      <w:tr>
        <w:tc>
          <w:tcPr>
            <w:tcW w:type="dxa" w:w="4335"/>
          </w:tcPr>
          <w:p>
            <w:r>
              <w:rPr>
                <w:b w:val="0"/>
                <w:sz w:val="18"/>
              </w:rPr>
              <w:t>12. Inglés</w:t>
            </w:r>
          </w:p>
        </w:tc>
        <w:tc>
          <w:tcPr>
            <w:tcW w:type="dxa" w:w="4335"/>
          </w:tcPr>
          <w:p>
            <w:r>
              <w:rPr>
                <w:b w:val="0"/>
                <w:sz w:val="18"/>
              </w:rPr>
              <w:t>Logrado</w:t>
            </w:r>
          </w:p>
        </w:tc>
        <w:tc>
          <w:tcPr>
            <w:tcW w:type="dxa" w:w="4335"/>
          </w:tcPr>
          <w:p>
            <w:r>
              <w:rPr>
                <w:b w:val="0"/>
                <w:sz w:val="18"/>
              </w:rPr>
              <w:t>La guía 1.5 incluye abstract, conclusiones y reflexión en inglés.</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