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52973" w:rsidRPr="00095AD5" w:rsidRDefault="002B4C72" w:rsidP="00BF70CC">
      <w:pPr>
        <w:jc w:val="both"/>
        <w:rPr>
          <w:b/>
          <w:sz w:val="32"/>
          <w:szCs w:val="32"/>
        </w:rPr>
      </w:pPr>
      <w:r w:rsidRPr="00095AD5">
        <w:rPr>
          <w:sz w:val="32"/>
          <w:szCs w:val="32"/>
        </w:rPr>
        <w:t>Country: Belarus</w:t>
      </w:r>
    </w:p>
    <w:p w14:paraId="00000002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03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1991-1993</w:t>
      </w:r>
    </w:p>
    <w:p w14:paraId="00000004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Vyachaslau Frantsavich Kyebich</w:t>
      </w:r>
    </w:p>
    <w:p w14:paraId="00000005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06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Description: HoG does not identify ideology. CHISOLS does not identify head of government. Bugajski (2002: 29) identifies party as </w:t>
      </w:r>
      <w:r w:rsidRPr="00095AD5">
        <w:rPr>
          <w:i/>
          <w:sz w:val="28"/>
          <w:szCs w:val="28"/>
        </w:rPr>
        <w:t>Popular Movement of Belarus (PMB)</w:t>
      </w:r>
      <w:r w:rsidRPr="00095AD5">
        <w:rPr>
          <w:sz w:val="28"/>
          <w:szCs w:val="28"/>
        </w:rPr>
        <w:t xml:space="preserve"> – in Belarusian, </w:t>
      </w:r>
      <w:r w:rsidRPr="00095AD5">
        <w:rPr>
          <w:i/>
          <w:sz w:val="28"/>
          <w:szCs w:val="28"/>
        </w:rPr>
        <w:t>Narodny Ruh Belarusi</w:t>
      </w:r>
      <w:r w:rsidRPr="00095AD5">
        <w:rPr>
          <w:sz w:val="28"/>
          <w:szCs w:val="28"/>
        </w:rPr>
        <w:t xml:space="preserve"> (</w:t>
      </w:r>
      <w:r w:rsidRPr="00095AD5">
        <w:rPr>
          <w:i/>
          <w:sz w:val="28"/>
          <w:szCs w:val="28"/>
        </w:rPr>
        <w:t>NRB)</w:t>
      </w:r>
      <w:r w:rsidRPr="00095AD5">
        <w:rPr>
          <w:sz w:val="28"/>
          <w:szCs w:val="28"/>
        </w:rPr>
        <w:t xml:space="preserve">. Bugajski (2002: 29) identifies ideology as leftist, PMB </w:t>
      </w:r>
      <w:r w:rsidRPr="00095AD5">
        <w:rPr>
          <w:i/>
          <w:sz w:val="28"/>
          <w:szCs w:val="28"/>
        </w:rPr>
        <w:t>“</w:t>
      </w:r>
      <w:r w:rsidRPr="00095AD5">
        <w:rPr>
          <w:sz w:val="28"/>
          <w:szCs w:val="28"/>
        </w:rPr>
        <w:t>formed as an alliance of pro-government groupings. Chief among them were the three communist parties listed below. It embraced the hard-line left and the pro-Slavic "right" in an effort to challenge the Belarusian Popular Front (BPF).” Political Handbook of the World (2015: 126) confirms Kyebich as a leftist: “Strains then intensified between Shushkevich, a free-market nationalist, and the chair of the Council of Ministers, Vyacheslau KEBICH, a veteran Communist who favored state control of the economy and close ties with Moscow”. World Statesmen (2019) identifies Kyebich as non-party after 1991.</w:t>
      </w:r>
    </w:p>
    <w:p w14:paraId="00000007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08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1994-1995</w:t>
      </w:r>
    </w:p>
    <w:p w14:paraId="00000009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Mikhail Mikalayevich Chyhir</w:t>
      </w:r>
    </w:p>
    <w:p w14:paraId="0000000A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0B" w14:textId="52FF9B78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 HoG does not identify ideology. CHISOLS does not identify head of government. World Statesmen (2019) identifies Chyhir’s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0000000C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0D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1996-1999</w:t>
      </w:r>
    </w:p>
    <w:p w14:paraId="0000000E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Syarhey Stsyapanavich Linh (Ling)</w:t>
      </w:r>
    </w:p>
    <w:p w14:paraId="0000000F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10" w14:textId="1075AC53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 HoG does not identify ideology. CHISOLS does not identify head of government. World Statesmen (2019) identifies Linh’s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00000011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12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Year: 2000</w:t>
      </w:r>
    </w:p>
    <w:p w14:paraId="00000013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Uladzimir Vasilyevich Jarmoshyn</w:t>
      </w:r>
    </w:p>
    <w:p w14:paraId="00000014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15" w14:textId="4ED8B529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 HoG does not identify ideology. CHISOLS does not identify head of government. World Statesmen (2019) identifies Jarmoshyn’s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00000016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17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2001-2002</w:t>
      </w:r>
    </w:p>
    <w:p w14:paraId="00000018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Henadz Vasilyevich Navitski</w:t>
      </w:r>
    </w:p>
    <w:p w14:paraId="00000019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1A" w14:textId="337921BF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 HoG does not identify ideology. CHISOLS does not identify head of government. World Statesmen (2019) identifies Navitski’s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0000001B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1C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2003-2009</w:t>
      </w:r>
    </w:p>
    <w:p w14:paraId="0000001D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Syarhey Syarheyevich Sidorski</w:t>
      </w:r>
    </w:p>
    <w:p w14:paraId="0000001E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1F" w14:textId="1577F90F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 HoG does not identify ideology. CHISOLS does not identify head of government. World Statesmen (2019) identifies Sidorski’s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00000020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21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2010-2013</w:t>
      </w:r>
    </w:p>
    <w:p w14:paraId="00000022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Mikhail Uladzimiravich Myasnikovich</w:t>
      </w:r>
    </w:p>
    <w:p w14:paraId="00000023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24" w14:textId="5D9FF49D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lastRenderedPageBreak/>
        <w:t>Description: HoG does not identify ideology. CHISOLS does not identify head of government. World Statesmen (2019) identifies Myasnikovich’s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00000025" w14:textId="77777777" w:rsidR="00A52973" w:rsidRPr="00095AD5" w:rsidRDefault="00A52973" w:rsidP="00BF70CC">
      <w:pPr>
        <w:jc w:val="both"/>
        <w:rPr>
          <w:sz w:val="28"/>
          <w:szCs w:val="28"/>
        </w:rPr>
      </w:pPr>
    </w:p>
    <w:p w14:paraId="00000026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2014-2017</w:t>
      </w:r>
    </w:p>
    <w:p w14:paraId="00000027" w14:textId="77777777" w:rsidR="00A52973" w:rsidRPr="00095AD5" w:rsidRDefault="002B4C72" w:rsidP="00BF70CC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Andrey Uladzimiravich Kabyakow</w:t>
      </w:r>
    </w:p>
    <w:p w14:paraId="00000028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 left</w:t>
      </w:r>
    </w:p>
    <w:p w14:paraId="00000029" w14:textId="02BEDE4B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 HoG does not identify ideology. CHISOLS does not identify head of government. World Statesmen (2019) identifies Kabyakow’s party affiliation as non-party. Political Handbook (2015: 128) indicates that “top Belarusan officials have generally avoided direct involvement in political party activity while in office, despite (or because of) their earlier associations with the Soviet-era Communist Party” and that the “Belarusan legislature has been controlled by Lukashenka loyalists rather than by party caucuses”. Frye (2010: 250) identifies Belarus as an example of a “personalist old-left government”.</w:t>
      </w:r>
    </w:p>
    <w:p w14:paraId="2FC0392B" w14:textId="7C5DF837" w:rsidR="00690F88" w:rsidRPr="00095AD5" w:rsidRDefault="00690F88" w:rsidP="00BF70CC">
      <w:pPr>
        <w:jc w:val="both"/>
        <w:rPr>
          <w:sz w:val="28"/>
          <w:szCs w:val="28"/>
        </w:rPr>
      </w:pPr>
    </w:p>
    <w:p w14:paraId="25C2878D" w14:textId="4516F7EB" w:rsidR="00690F88" w:rsidRPr="00095AD5" w:rsidRDefault="00690F88" w:rsidP="00690F88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2018-2019</w:t>
      </w:r>
    </w:p>
    <w:p w14:paraId="32D6F79A" w14:textId="572B1DC2" w:rsidR="00690F88" w:rsidRPr="00095AD5" w:rsidRDefault="00690F88" w:rsidP="00690F88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Sergei Rumas</w:t>
      </w:r>
    </w:p>
    <w:p w14:paraId="7BE59E71" w14:textId="7E253908" w:rsidR="00690F88" w:rsidRPr="00095AD5" w:rsidRDefault="00690F88" w:rsidP="00690F88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Ideology: </w:t>
      </w:r>
      <w:r w:rsidR="00C42DC3" w:rsidRPr="00095AD5">
        <w:rPr>
          <w:sz w:val="28"/>
          <w:szCs w:val="28"/>
        </w:rPr>
        <w:t>right</w:t>
      </w:r>
    </w:p>
    <w:p w14:paraId="72EF48D9" w14:textId="39CE8134" w:rsidR="00626B43" w:rsidRPr="00095AD5" w:rsidRDefault="00690F88" w:rsidP="00C42DC3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Description:</w:t>
      </w:r>
      <w:r w:rsidR="00B45495" w:rsidRPr="00095AD5">
        <w:rPr>
          <w:sz w:val="28"/>
          <w:szCs w:val="28"/>
        </w:rPr>
        <w:t xml:space="preserve"> HoG does not identify ideology. CHISOLS does not identify head of government. World Statesmen (2019) and Perspective Monde (2020) identify party affiliation as non-party.</w:t>
      </w:r>
      <w:r w:rsidR="00626B43" w:rsidRPr="00095AD5">
        <w:rPr>
          <w:sz w:val="28"/>
          <w:szCs w:val="28"/>
        </w:rPr>
        <w:t xml:space="preserve"> Ioffe (2020) identifies Rumas as a rightist, writing that “unlike the former head of government, Sergei Rumas, an economic liberal and a banker, newly appointed Prime Minister Roman Golovchenko is described as a champion of the dirigiste economy.” Shraibman (2018) writes that “[Rumas] is known to be a good negotiator, as well as a tough, discipline-minded manager and a staunch disciple of the market economy. Rumas previously served as deputy prime minister from 2010 to </w:t>
      </w:r>
      <w:proofErr w:type="gramStart"/>
      <w:r w:rsidR="00626B43" w:rsidRPr="00095AD5">
        <w:rPr>
          <w:sz w:val="28"/>
          <w:szCs w:val="28"/>
        </w:rPr>
        <w:t>2012, and</w:t>
      </w:r>
      <w:proofErr w:type="gramEnd"/>
      <w:r w:rsidR="00626B43" w:rsidRPr="00095AD5">
        <w:rPr>
          <w:sz w:val="28"/>
          <w:szCs w:val="28"/>
        </w:rPr>
        <w:t xml:space="preserve"> is remembered for his rather unorthodox public remarks: he criticized Lukashenko’s Marxist advisor Sergei Tkachyov for his anti-market initiatives, and the central bank for its soft monetary policy that led to currency devaluation.” The BTI Country Report </w:t>
      </w:r>
      <w:r w:rsidR="00C42DC3" w:rsidRPr="00095AD5">
        <w:rPr>
          <w:sz w:val="28"/>
          <w:szCs w:val="28"/>
        </w:rPr>
        <w:t xml:space="preserve">write that Rumas’ “economic program includes measures aimed at strengthening SOE oversight and financial discipline; lowering state support for the public sector; reducing cross-subsidies for housing, utilities and electricity tariffs; improving corporate governance; enhancing the business climate and attracting FDI; initiating a structural transformation of the </w:t>
      </w:r>
      <w:r w:rsidR="00C42DC3" w:rsidRPr="00095AD5">
        <w:rPr>
          <w:sz w:val="28"/>
          <w:szCs w:val="28"/>
        </w:rPr>
        <w:lastRenderedPageBreak/>
        <w:t>economy toward the service sectors and IT industries; and diversifying the country’s trade flows.” Zayac (2020) writes that “</w:t>
      </w:r>
      <w:r w:rsidR="00C42DC3" w:rsidRPr="00095AD5">
        <w:rPr>
          <w:rStyle w:val="tlid-translation"/>
          <w:sz w:val="28"/>
          <w:szCs w:val="28"/>
          <w:lang w:val="en"/>
        </w:rPr>
        <w:t>’The departure of Rumas was expected,” an informed expert emphasized in an interview with a Naviny.by correspondent. ‘He did not fit into the existing system. In his activity, there was a bias towards market reform, and this was contrary to the interests of those who wanted to maintain the existing administrative-command system in the economy.’”</w:t>
      </w:r>
    </w:p>
    <w:p w14:paraId="0000002A" w14:textId="177D9FF5" w:rsidR="00A52973" w:rsidRPr="00095AD5" w:rsidRDefault="00A52973" w:rsidP="00BF70CC">
      <w:pPr>
        <w:jc w:val="both"/>
        <w:rPr>
          <w:sz w:val="28"/>
          <w:szCs w:val="28"/>
        </w:rPr>
      </w:pPr>
    </w:p>
    <w:p w14:paraId="0C415AA3" w14:textId="1E75B49E" w:rsidR="00F62F88" w:rsidRPr="00095AD5" w:rsidRDefault="00F62F88" w:rsidP="00F62F88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Years: 2020</w:t>
      </w:r>
    </w:p>
    <w:p w14:paraId="423EC760" w14:textId="48D9B8CE" w:rsidR="00F62F88" w:rsidRPr="00095AD5" w:rsidRDefault="00F62F88" w:rsidP="00F62F88">
      <w:pPr>
        <w:jc w:val="both"/>
        <w:rPr>
          <w:color w:val="000000"/>
          <w:sz w:val="28"/>
          <w:szCs w:val="28"/>
        </w:rPr>
      </w:pPr>
      <w:r w:rsidRPr="00095AD5">
        <w:rPr>
          <w:sz w:val="28"/>
          <w:szCs w:val="28"/>
        </w:rPr>
        <w:t xml:space="preserve">Head of government: </w:t>
      </w:r>
      <w:r w:rsidRPr="00095AD5">
        <w:rPr>
          <w:color w:val="000000"/>
          <w:sz w:val="28"/>
          <w:szCs w:val="28"/>
        </w:rPr>
        <w:t>Raman Aliaksandravich Halouchanka</w:t>
      </w:r>
    </w:p>
    <w:p w14:paraId="496E3C17" w14:textId="7D73957F" w:rsidR="00F62F88" w:rsidRPr="00095AD5" w:rsidRDefault="00F62F88" w:rsidP="00F62F88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Ideology:</w:t>
      </w:r>
    </w:p>
    <w:p w14:paraId="0000002B" w14:textId="68461CFA" w:rsidR="00A52973" w:rsidRPr="00095AD5" w:rsidRDefault="003563E3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Description: </w:t>
      </w:r>
      <w:r w:rsidR="00A31815" w:rsidRPr="00095AD5">
        <w:rPr>
          <w:sz w:val="28"/>
          <w:szCs w:val="28"/>
        </w:rPr>
        <w:t>World Statesmen (2021) identifies head of government</w:t>
      </w:r>
      <w:r w:rsidR="00095AD5" w:rsidRPr="00095AD5">
        <w:rPr>
          <w:sz w:val="28"/>
          <w:szCs w:val="28"/>
        </w:rPr>
        <w:t>’s party</w:t>
      </w:r>
      <w:r w:rsidR="00A31815" w:rsidRPr="00095AD5">
        <w:rPr>
          <w:sz w:val="28"/>
          <w:szCs w:val="28"/>
        </w:rPr>
        <w:t xml:space="preserve"> as </w:t>
      </w:r>
      <w:r w:rsidR="00095AD5" w:rsidRPr="00095AD5">
        <w:rPr>
          <w:sz w:val="28"/>
          <w:szCs w:val="28"/>
        </w:rPr>
        <w:t>none.</w:t>
      </w:r>
    </w:p>
    <w:p w14:paraId="64D94EC1" w14:textId="77777777" w:rsidR="00D7627B" w:rsidRPr="00095AD5" w:rsidRDefault="00D7627B" w:rsidP="00BF70CC">
      <w:pPr>
        <w:jc w:val="both"/>
        <w:rPr>
          <w:sz w:val="28"/>
          <w:szCs w:val="28"/>
        </w:rPr>
      </w:pPr>
    </w:p>
    <w:p w14:paraId="0000002C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References:</w:t>
      </w:r>
    </w:p>
    <w:p w14:paraId="0000002D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"Belarus." In </w:t>
      </w:r>
      <w:r w:rsidRPr="00095AD5">
        <w:rPr>
          <w:i/>
          <w:sz w:val="28"/>
          <w:szCs w:val="28"/>
        </w:rPr>
        <w:t>Political Handbook of the World 2015</w:t>
      </w:r>
      <w:r w:rsidRPr="00095AD5">
        <w:rPr>
          <w:sz w:val="28"/>
          <w:szCs w:val="28"/>
        </w:rPr>
        <w:t xml:space="preserve">, edited by Thomas </w:t>
      </w:r>
    </w:p>
    <w:p w14:paraId="0000002E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Lansford, 125-33. Washington, DC: CQ Press, 2015. </w:t>
      </w:r>
    </w:p>
    <w:p w14:paraId="0000002F" w14:textId="77777777" w:rsidR="00A52973" w:rsidRPr="00095AD5" w:rsidRDefault="00095AD5" w:rsidP="00BF70CC">
      <w:pPr>
        <w:ind w:firstLine="720"/>
        <w:jc w:val="both"/>
        <w:rPr>
          <w:sz w:val="28"/>
          <w:szCs w:val="28"/>
        </w:rPr>
      </w:pPr>
      <w:hyperlink r:id="rId5">
        <w:r w:rsidR="002B4C72" w:rsidRPr="00095AD5">
          <w:rPr>
            <w:color w:val="0563C1"/>
            <w:sz w:val="28"/>
            <w:szCs w:val="28"/>
            <w:u w:val="single"/>
          </w:rPr>
          <w:t>http://library.cqpress.com.proxy.uchicago.edu/phw/phw2015_Belarus</w:t>
        </w:r>
      </w:hyperlink>
    </w:p>
    <w:p w14:paraId="2BE0EDED" w14:textId="77777777" w:rsidR="000802C9" w:rsidRPr="00095AD5" w:rsidRDefault="000802C9" w:rsidP="000802C9">
      <w:pPr>
        <w:rPr>
          <w:sz w:val="28"/>
          <w:szCs w:val="28"/>
          <w:lang w:val="de-DE"/>
        </w:rPr>
      </w:pPr>
      <w:r w:rsidRPr="00095AD5">
        <w:rPr>
          <w:sz w:val="28"/>
          <w:szCs w:val="28"/>
          <w:lang w:val="de-DE"/>
        </w:rPr>
        <w:t xml:space="preserve">Bertelsmann Stiftung. 2020. BTI 2020 Country Report — Belarus. Gütersloh: </w:t>
      </w:r>
    </w:p>
    <w:p w14:paraId="7A01B767" w14:textId="6BA173B6" w:rsidR="000802C9" w:rsidRPr="00095AD5" w:rsidRDefault="000802C9" w:rsidP="000802C9">
      <w:pPr>
        <w:ind w:firstLine="720"/>
        <w:rPr>
          <w:sz w:val="28"/>
          <w:szCs w:val="28"/>
          <w:lang w:val="de-DE"/>
        </w:rPr>
      </w:pPr>
      <w:r w:rsidRPr="00095AD5">
        <w:rPr>
          <w:sz w:val="28"/>
          <w:szCs w:val="28"/>
          <w:lang w:val="de-DE"/>
        </w:rPr>
        <w:t>Bertelsmann Stiftung.</w:t>
      </w:r>
    </w:p>
    <w:p w14:paraId="00000030" w14:textId="7879F6E5" w:rsidR="00A52973" w:rsidRPr="00095AD5" w:rsidRDefault="002B4C72" w:rsidP="00BF70CC">
      <w:pPr>
        <w:jc w:val="both"/>
        <w:rPr>
          <w:sz w:val="28"/>
          <w:szCs w:val="28"/>
          <w:lang w:val="de-DE"/>
        </w:rPr>
      </w:pPr>
      <w:r w:rsidRPr="00095AD5">
        <w:rPr>
          <w:sz w:val="28"/>
          <w:szCs w:val="28"/>
          <w:lang w:val="de-DE"/>
        </w:rPr>
        <w:t xml:space="preserve">Bohdan, Siarhei. 2012. “Faces of Belarusian Politics: The Unsinkable Mikhail </w:t>
      </w:r>
    </w:p>
    <w:p w14:paraId="00000031" w14:textId="77777777" w:rsidR="00A52973" w:rsidRPr="00095AD5" w:rsidRDefault="002B4C72" w:rsidP="00BF70CC">
      <w:pPr>
        <w:ind w:firstLine="720"/>
        <w:jc w:val="both"/>
        <w:rPr>
          <w:sz w:val="28"/>
          <w:szCs w:val="28"/>
          <w:lang w:val="de-DE"/>
        </w:rPr>
      </w:pPr>
      <w:r w:rsidRPr="00095AD5">
        <w:rPr>
          <w:sz w:val="28"/>
          <w:szCs w:val="28"/>
          <w:lang w:val="de-DE"/>
        </w:rPr>
        <w:t>Myasnikovich”. Belarus Digest.</w:t>
      </w:r>
    </w:p>
    <w:p w14:paraId="00000032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  <w:lang w:val="de-DE"/>
        </w:rPr>
        <w:t xml:space="preserve">Brambor, Thomas, Johannes Lindvall, and Annika Stjernquist. </w:t>
      </w:r>
      <w:r w:rsidRPr="00095AD5">
        <w:rPr>
          <w:sz w:val="28"/>
          <w:szCs w:val="28"/>
        </w:rPr>
        <w:t xml:space="preserve">2017. The Ideology </w:t>
      </w:r>
    </w:p>
    <w:p w14:paraId="00000033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of Heads of Government, 1870-2012. Version 1.5. Department of Political </w:t>
      </w:r>
    </w:p>
    <w:p w14:paraId="00000034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>Science, Lund University.</w:t>
      </w:r>
    </w:p>
    <w:p w14:paraId="00000035" w14:textId="77777777" w:rsidR="00A52973" w:rsidRPr="00095AD5" w:rsidRDefault="002B4C72" w:rsidP="00BF70CC">
      <w:pPr>
        <w:jc w:val="both"/>
        <w:rPr>
          <w:i/>
          <w:sz w:val="28"/>
          <w:szCs w:val="28"/>
        </w:rPr>
      </w:pPr>
      <w:r w:rsidRPr="00095AD5">
        <w:rPr>
          <w:sz w:val="28"/>
          <w:szCs w:val="28"/>
        </w:rPr>
        <w:t xml:space="preserve">Bugajski, Janusz. </w:t>
      </w:r>
      <w:r w:rsidRPr="00095AD5">
        <w:rPr>
          <w:i/>
          <w:sz w:val="28"/>
          <w:szCs w:val="28"/>
        </w:rPr>
        <w:t xml:space="preserve">Political Parties of Eastern Europe: A Guide to Politics in the </w:t>
      </w:r>
    </w:p>
    <w:p w14:paraId="00000036" w14:textId="77777777" w:rsidR="00A52973" w:rsidRPr="00095AD5" w:rsidRDefault="002B4C72" w:rsidP="00BF70CC">
      <w:pPr>
        <w:ind w:firstLine="720"/>
        <w:jc w:val="both"/>
        <w:rPr>
          <w:i/>
          <w:sz w:val="28"/>
          <w:szCs w:val="28"/>
        </w:rPr>
      </w:pPr>
      <w:r w:rsidRPr="00095AD5">
        <w:rPr>
          <w:i/>
          <w:sz w:val="28"/>
          <w:szCs w:val="28"/>
        </w:rPr>
        <w:t>Post-Communist Era</w:t>
      </w:r>
      <w:r w:rsidRPr="00095AD5">
        <w:rPr>
          <w:sz w:val="28"/>
          <w:szCs w:val="28"/>
        </w:rPr>
        <w:t>. Armonk, New York: M. E. Sharpe, Inc., 2002.</w:t>
      </w:r>
    </w:p>
    <w:p w14:paraId="00000037" w14:textId="77777777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  <w:lang w:val="es-ES"/>
        </w:rPr>
        <w:t xml:space="preserve">Cruz, Cesi, Philip Keefer, and Carlos Scartascini. </w:t>
      </w:r>
      <w:r w:rsidRPr="00095AD5">
        <w:rPr>
          <w:sz w:val="28"/>
          <w:szCs w:val="28"/>
        </w:rPr>
        <w:t xml:space="preserve">2018. Database of Political </w:t>
      </w:r>
    </w:p>
    <w:p w14:paraId="00000038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Institutions (DPI2017). Inter-American Development Bank. Numbers for </w:t>
      </w:r>
    </w:p>
    <w:p w14:paraId="00000039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>Development.</w:t>
      </w:r>
    </w:p>
    <w:p w14:paraId="0000003A" w14:textId="6F146AA5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Frye, Timothy. 2010. Building States and Markets after Communism: The Perils of </w:t>
      </w:r>
    </w:p>
    <w:p w14:paraId="0000003B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>Polarized Democracy. Cambridge.</w:t>
      </w:r>
    </w:p>
    <w:p w14:paraId="7EE4B70C" w14:textId="77777777" w:rsidR="000802C9" w:rsidRPr="00095AD5" w:rsidRDefault="000802C9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Ioffe, Geoffrey. 2020. “Belarusian Elections and Geopolitical Somersaults.” Eurasia </w:t>
      </w:r>
    </w:p>
    <w:p w14:paraId="29716CDA" w14:textId="388C7156" w:rsidR="000802C9" w:rsidRPr="00095AD5" w:rsidRDefault="000802C9" w:rsidP="000802C9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Daily Monitor 17(83). </w:t>
      </w:r>
    </w:p>
    <w:p w14:paraId="0000003C" w14:textId="70A94964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Mattes, Michaela, Leeds, Brett, and Naoko Matsumura. 2016. Measuring change in </w:t>
      </w:r>
    </w:p>
    <w:p w14:paraId="0000003D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source of leader support: The CHISOLS dataset. Journal of Peace Research </w:t>
      </w:r>
    </w:p>
    <w:p w14:paraId="0000003E" w14:textId="77777777" w:rsidR="00A52973" w:rsidRPr="00095AD5" w:rsidRDefault="002B4C72" w:rsidP="00BF70CC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53(2): 259-267. </w:t>
      </w:r>
    </w:p>
    <w:p w14:paraId="412ADBD8" w14:textId="77777777" w:rsidR="005A45E3" w:rsidRPr="00095AD5" w:rsidRDefault="005A45E3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Perspective Monde. 2020. “Belarus.” </w:t>
      </w:r>
    </w:p>
    <w:p w14:paraId="3DBC9EDE" w14:textId="762F7501" w:rsidR="005A45E3" w:rsidRPr="00095AD5" w:rsidRDefault="00095AD5" w:rsidP="005A45E3">
      <w:pPr>
        <w:ind w:left="720"/>
        <w:jc w:val="both"/>
        <w:rPr>
          <w:sz w:val="28"/>
          <w:szCs w:val="28"/>
        </w:rPr>
      </w:pPr>
      <w:hyperlink r:id="rId6" w:history="1">
        <w:r w:rsidR="005A45E3" w:rsidRPr="00095AD5">
          <w:rPr>
            <w:rStyle w:val="Hyperlink"/>
            <w:sz w:val="28"/>
            <w:szCs w:val="28"/>
          </w:rPr>
          <w:t>https://perspective.usherbrooke.ca/bilan/servlet/BMGvt?codePays=BLR&amp;ani=1991&amp;moi=1&amp;anf=2019&amp;mof=7</w:t>
        </w:r>
      </w:hyperlink>
      <w:r w:rsidR="005A45E3" w:rsidRPr="00095AD5">
        <w:rPr>
          <w:sz w:val="28"/>
          <w:szCs w:val="28"/>
        </w:rPr>
        <w:t xml:space="preserve"> </w:t>
      </w:r>
    </w:p>
    <w:p w14:paraId="0000003F" w14:textId="4626133B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Political Handbook Online Edition. 2019. “Belarus”. CQ Press.</w:t>
      </w:r>
    </w:p>
    <w:p w14:paraId="35D4902A" w14:textId="77777777" w:rsidR="001C77F5" w:rsidRPr="00095AD5" w:rsidRDefault="001C77F5" w:rsidP="00BF70CC">
      <w:pPr>
        <w:jc w:val="both"/>
        <w:rPr>
          <w:sz w:val="28"/>
          <w:szCs w:val="28"/>
        </w:rPr>
      </w:pPr>
      <w:bookmarkStart w:id="0" w:name="_heading=h.gjdgxs" w:colFirst="0" w:colLast="0"/>
      <w:bookmarkEnd w:id="0"/>
      <w:r w:rsidRPr="00095AD5">
        <w:rPr>
          <w:sz w:val="28"/>
          <w:szCs w:val="28"/>
        </w:rPr>
        <w:t xml:space="preserve">Shraibman, Artyom. 2018. “Belarus’s Lukashenko Appoints Market Reformer PM </w:t>
      </w:r>
    </w:p>
    <w:p w14:paraId="0EAE2D11" w14:textId="70EFAD34" w:rsidR="001C77F5" w:rsidRPr="00095AD5" w:rsidRDefault="001C77F5" w:rsidP="001C77F5">
      <w:pPr>
        <w:ind w:firstLine="720"/>
        <w:jc w:val="both"/>
        <w:rPr>
          <w:sz w:val="28"/>
          <w:szCs w:val="28"/>
        </w:rPr>
      </w:pPr>
      <w:r w:rsidRPr="00095AD5">
        <w:rPr>
          <w:sz w:val="28"/>
          <w:szCs w:val="28"/>
        </w:rPr>
        <w:lastRenderedPageBreak/>
        <w:t>in Preparation for Storm.” Carnegie Moscow Center.</w:t>
      </w:r>
    </w:p>
    <w:p w14:paraId="00000040" w14:textId="35621436" w:rsidR="00A52973" w:rsidRPr="00095AD5" w:rsidRDefault="002B4C72" w:rsidP="00BF70CC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>World Statesmen. 2019.</w:t>
      </w:r>
      <w:r w:rsidR="005A45E3" w:rsidRPr="00095AD5">
        <w:rPr>
          <w:sz w:val="28"/>
          <w:szCs w:val="28"/>
        </w:rPr>
        <w:t xml:space="preserve"> “Belarus.”</w:t>
      </w:r>
      <w:r w:rsidRPr="00095AD5">
        <w:rPr>
          <w:sz w:val="28"/>
          <w:szCs w:val="28"/>
        </w:rPr>
        <w:t xml:space="preserve"> </w:t>
      </w:r>
      <w:hyperlink r:id="rId7">
        <w:r w:rsidRPr="00095AD5">
          <w:rPr>
            <w:color w:val="1155CC"/>
            <w:sz w:val="28"/>
            <w:szCs w:val="28"/>
            <w:u w:val="single"/>
          </w:rPr>
          <w:t>https://www.worldstatesmen.org/Belarus.html</w:t>
        </w:r>
      </w:hyperlink>
    </w:p>
    <w:p w14:paraId="0E0B07A4" w14:textId="77777777" w:rsidR="001C77F5" w:rsidRPr="00095AD5" w:rsidRDefault="001C77F5" w:rsidP="001C77F5">
      <w:pPr>
        <w:jc w:val="both"/>
        <w:rPr>
          <w:sz w:val="28"/>
          <w:szCs w:val="28"/>
        </w:rPr>
      </w:pPr>
      <w:r w:rsidRPr="00095AD5">
        <w:rPr>
          <w:sz w:val="28"/>
          <w:szCs w:val="28"/>
        </w:rPr>
        <w:t xml:space="preserve">Zayac, Dmitriy. 2020. “Who Will Replace Rumas?” NavinyBy: Belorussian News. </w:t>
      </w:r>
    </w:p>
    <w:p w14:paraId="00000041" w14:textId="280DAD38" w:rsidR="00A52973" w:rsidRDefault="00095AD5" w:rsidP="001C77F5">
      <w:pPr>
        <w:ind w:firstLine="720"/>
        <w:jc w:val="both"/>
        <w:rPr>
          <w:sz w:val="28"/>
          <w:szCs w:val="28"/>
        </w:rPr>
      </w:pPr>
      <w:hyperlink r:id="rId8" w:history="1">
        <w:r w:rsidR="001C77F5" w:rsidRPr="00095AD5">
          <w:rPr>
            <w:rStyle w:val="Hyperlink"/>
            <w:sz w:val="28"/>
            <w:szCs w:val="28"/>
          </w:rPr>
          <w:t>https://naviny.by/rubrics/economic/2012/08/01/ic_articles_113_178667</w:t>
        </w:r>
      </w:hyperlink>
      <w:r w:rsidR="001C77F5" w:rsidRPr="00095AD5">
        <w:rPr>
          <w:sz w:val="28"/>
          <w:szCs w:val="28"/>
        </w:rPr>
        <w:t>.</w:t>
      </w:r>
      <w:r w:rsidR="001C77F5">
        <w:rPr>
          <w:sz w:val="28"/>
          <w:szCs w:val="28"/>
        </w:rPr>
        <w:t xml:space="preserve"> </w:t>
      </w:r>
    </w:p>
    <w:sectPr w:rsidR="00A52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73"/>
    <w:rsid w:val="000802C9"/>
    <w:rsid w:val="0008445F"/>
    <w:rsid w:val="00095AD5"/>
    <w:rsid w:val="001C77F5"/>
    <w:rsid w:val="002B4C72"/>
    <w:rsid w:val="003563E3"/>
    <w:rsid w:val="00444101"/>
    <w:rsid w:val="00530E95"/>
    <w:rsid w:val="005A45E3"/>
    <w:rsid w:val="00626B43"/>
    <w:rsid w:val="00690F88"/>
    <w:rsid w:val="006C4E54"/>
    <w:rsid w:val="009F2483"/>
    <w:rsid w:val="00A31815"/>
    <w:rsid w:val="00A52973"/>
    <w:rsid w:val="00AA2DAC"/>
    <w:rsid w:val="00B05FEE"/>
    <w:rsid w:val="00B45495"/>
    <w:rsid w:val="00B73F7E"/>
    <w:rsid w:val="00BF70CC"/>
    <w:rsid w:val="00C42DC3"/>
    <w:rsid w:val="00C53471"/>
    <w:rsid w:val="00C900C2"/>
    <w:rsid w:val="00D7627B"/>
    <w:rsid w:val="00F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5D55D"/>
  <w15:docId w15:val="{3CC512E8-4898-124D-A1EF-8DC545E5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3C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A3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8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8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1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10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1B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1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B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7F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4E06"/>
    <w:rPr>
      <w:i/>
      <w:iCs/>
    </w:rPr>
  </w:style>
  <w:style w:type="character" w:customStyle="1" w:styleId="il">
    <w:name w:val="il"/>
    <w:basedOn w:val="DefaultParagraphFont"/>
    <w:rsid w:val="006B09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rsid w:val="005A45E3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62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iny.by/rubrics/economic/2012/08/01/ic_articles_113_1786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statesmen.org/Belaru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erspective.usherbrooke.ca/bilan/servlet/BMGvt?codePays=BLR&amp;ani=1991&amp;moi=1&amp;anf=2019&amp;mof=7" TargetMode="External"/><Relationship Id="rId5" Type="http://schemas.openxmlformats.org/officeDocument/2006/relationships/hyperlink" Target="http://library.cqpress.com.proxy.uchicago.edu/phw/phw2015_Belar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3EY8RXfhRNNpp2gkqL0VJFEBQ==">AMUW2mXqWw3CMxxDMyyzs18vQTMTtArtLAhWWVYyTFzvCRxNd8o9iHHppGotKHnU5t4e0WpvdL77ROSlXwiYh39Qt7zp+kP8mQCfiRbj/iRrbjc2ceiUHACtjeHlxrIWwet+i2KJ9qwx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Bastian Herre</cp:lastModifiedBy>
  <cp:revision>24</cp:revision>
  <dcterms:created xsi:type="dcterms:W3CDTF">2018-10-08T03:12:00Z</dcterms:created>
  <dcterms:modified xsi:type="dcterms:W3CDTF">2021-05-17T16:28:00Z</dcterms:modified>
</cp:coreProperties>
</file>