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433C4913" w:rsidR="00B12A6B" w:rsidRPr="00265343" w:rsidRDefault="000E1C21">
      <w:pPr>
        <w:rPr>
          <w:b/>
          <w:sz w:val="32"/>
          <w:szCs w:val="32"/>
        </w:rPr>
      </w:pPr>
      <w:r w:rsidRPr="00265343">
        <w:rPr>
          <w:sz w:val="32"/>
          <w:szCs w:val="32"/>
        </w:rPr>
        <w:t xml:space="preserve">Country: </w:t>
      </w:r>
      <w:r w:rsidR="00D20E3A" w:rsidRPr="00265343">
        <w:rPr>
          <w:sz w:val="32"/>
          <w:szCs w:val="32"/>
        </w:rPr>
        <w:t>Tajikistan</w:t>
      </w:r>
    </w:p>
    <w:p w14:paraId="5CA53276" w14:textId="77777777" w:rsidR="000E1C21" w:rsidRPr="00265343" w:rsidRDefault="000E1C21">
      <w:pPr>
        <w:rPr>
          <w:sz w:val="28"/>
          <w:szCs w:val="28"/>
        </w:rPr>
      </w:pPr>
    </w:p>
    <w:p w14:paraId="488DC716" w14:textId="44345486" w:rsidR="000E1C21" w:rsidRPr="00265343" w:rsidRDefault="000E1C21" w:rsidP="00C75FB3">
      <w:pPr>
        <w:jc w:val="both"/>
        <w:rPr>
          <w:sz w:val="28"/>
          <w:szCs w:val="28"/>
        </w:rPr>
      </w:pPr>
      <w:r w:rsidRPr="00265343">
        <w:rPr>
          <w:sz w:val="28"/>
          <w:szCs w:val="28"/>
        </w:rPr>
        <w:t>Year</w:t>
      </w:r>
      <w:r w:rsidR="004D71FE" w:rsidRPr="00265343">
        <w:rPr>
          <w:sz w:val="28"/>
          <w:szCs w:val="28"/>
        </w:rPr>
        <w:t>: 1991</w:t>
      </w:r>
    </w:p>
    <w:p w14:paraId="021B7841" w14:textId="7487FD7E" w:rsidR="000E1C21" w:rsidRPr="00265343" w:rsidRDefault="00C75FB3" w:rsidP="00C75FB3">
      <w:pPr>
        <w:jc w:val="both"/>
        <w:rPr>
          <w:color w:val="000000"/>
          <w:sz w:val="28"/>
          <w:szCs w:val="28"/>
        </w:rPr>
      </w:pPr>
      <w:r w:rsidRPr="00265343">
        <w:rPr>
          <w:sz w:val="28"/>
          <w:szCs w:val="28"/>
        </w:rPr>
        <w:t>Leader</w:t>
      </w:r>
      <w:r w:rsidR="000E1C21" w:rsidRPr="00265343">
        <w:rPr>
          <w:sz w:val="28"/>
          <w:szCs w:val="28"/>
        </w:rPr>
        <w:t xml:space="preserve">: </w:t>
      </w:r>
      <w:r w:rsidR="005650AA" w:rsidRPr="00265343">
        <w:rPr>
          <w:sz w:val="28"/>
          <w:szCs w:val="28"/>
        </w:rPr>
        <w:t xml:space="preserve">Rakhmon </w:t>
      </w:r>
      <w:r w:rsidRPr="00265343">
        <w:rPr>
          <w:color w:val="000000"/>
          <w:sz w:val="28"/>
          <w:szCs w:val="28"/>
        </w:rPr>
        <w:t xml:space="preserve">Nabiyev </w:t>
      </w:r>
    </w:p>
    <w:p w14:paraId="3CD3584A" w14:textId="1C1847B4" w:rsidR="000E1C21" w:rsidRPr="00265343" w:rsidRDefault="000E1C21" w:rsidP="00C75FB3">
      <w:pPr>
        <w:jc w:val="both"/>
        <w:rPr>
          <w:sz w:val="28"/>
          <w:szCs w:val="28"/>
        </w:rPr>
      </w:pPr>
      <w:r w:rsidRPr="00265343">
        <w:rPr>
          <w:sz w:val="28"/>
          <w:szCs w:val="28"/>
        </w:rPr>
        <w:t>Ideology:</w:t>
      </w:r>
      <w:r w:rsidR="007509D6" w:rsidRPr="00265343">
        <w:rPr>
          <w:sz w:val="28"/>
          <w:szCs w:val="28"/>
        </w:rPr>
        <w:t xml:space="preserve"> </w:t>
      </w:r>
      <w:r w:rsidR="009667AB" w:rsidRPr="00265343">
        <w:rPr>
          <w:sz w:val="28"/>
          <w:szCs w:val="28"/>
        </w:rPr>
        <w:t>left</w:t>
      </w:r>
    </w:p>
    <w:p w14:paraId="132A8B3B" w14:textId="74F27A9C" w:rsidR="00CA4AE2" w:rsidRPr="00265343" w:rsidRDefault="000E1C21" w:rsidP="00234DFC">
      <w:pPr>
        <w:jc w:val="both"/>
        <w:rPr>
          <w:rFonts w:eastAsia="Times New Roman"/>
          <w:sz w:val="28"/>
          <w:szCs w:val="28"/>
        </w:rPr>
      </w:pPr>
      <w:r w:rsidRPr="00265343">
        <w:rPr>
          <w:sz w:val="28"/>
          <w:szCs w:val="28"/>
        </w:rPr>
        <w:t xml:space="preserve">Description: </w:t>
      </w:r>
      <w:r w:rsidR="00DA0A25" w:rsidRPr="00265343">
        <w:rPr>
          <w:sz w:val="28"/>
          <w:szCs w:val="28"/>
        </w:rPr>
        <w:t xml:space="preserve">CHISOLS identifies Nabiyev’s party as KPT. </w:t>
      </w:r>
      <w:r w:rsidR="00DC1E01" w:rsidRPr="00265343">
        <w:rPr>
          <w:sz w:val="28"/>
          <w:szCs w:val="28"/>
        </w:rPr>
        <w:t xml:space="preserve">Political Handbook of the World (2015: 1429) identifies ideology as leftist, writing that “Aslonov resigned, being succeeded by former Communist Party of Tajikistan first secretary Rakhman Nabiyev”. </w:t>
      </w:r>
      <w:r w:rsidR="009667AB" w:rsidRPr="00265343">
        <w:rPr>
          <w:sz w:val="28"/>
          <w:szCs w:val="28"/>
        </w:rPr>
        <w:t>Manzano (2017) identifies ideology as leftist.</w:t>
      </w:r>
      <w:r w:rsidR="00DC1E01" w:rsidRPr="00265343">
        <w:rPr>
          <w:sz w:val="28"/>
          <w:szCs w:val="28"/>
        </w:rPr>
        <w:t xml:space="preserve"> </w:t>
      </w:r>
      <w:r w:rsidR="003452E8" w:rsidRPr="00265343">
        <w:rPr>
          <w:sz w:val="28"/>
          <w:szCs w:val="28"/>
        </w:rPr>
        <w:t>Lentz (1994: 740) identifies Nabiyev’s ideology as leftist, writing that “he joined the Communist party in 1961 and held several party positions” and that “in May of 1992 Nabiyev was forced to share power with Islamic fundamentalists and anti-Communist activists”.</w:t>
      </w:r>
      <w:r w:rsidR="003A1758" w:rsidRPr="00265343">
        <w:rPr>
          <w:sz w:val="28"/>
          <w:szCs w:val="28"/>
        </w:rPr>
        <w:t xml:space="preserve"> In the Global Party Survey 2019, 5 experts identify the average left-right (0-10) score of the Communist Party of Tajikistan (CPT) as 0.</w:t>
      </w:r>
      <w:r w:rsidR="005D6073" w:rsidRPr="00265343">
        <w:rPr>
          <w:sz w:val="28"/>
          <w:szCs w:val="28"/>
        </w:rPr>
        <w:t xml:space="preserve"> Schlager &amp; Weisblatt (2006: </w:t>
      </w:r>
      <w:r w:rsidR="00CA4AE2" w:rsidRPr="00265343">
        <w:rPr>
          <w:sz w:val="28"/>
          <w:szCs w:val="28"/>
        </w:rPr>
        <w:t>1320) identify CPT as leftist, writing that “</w:t>
      </w:r>
      <w:r w:rsidR="00CA4AE2" w:rsidRPr="00265343">
        <w:rPr>
          <w:rFonts w:ascii="Times" w:eastAsia="Times New Roman" w:hAnsi="Times"/>
          <w:sz w:val="28"/>
          <w:szCs w:val="28"/>
        </w:rPr>
        <w:t>the party is a collective member of the Union of the Communist Parties–CPSU, a successor to the CPSU, whose goal is to restore the USSR.</w:t>
      </w:r>
      <w:r w:rsidR="00234DFC" w:rsidRPr="00265343">
        <w:rPr>
          <w:rFonts w:ascii="Times" w:eastAsia="Times New Roman" w:hAnsi="Times"/>
          <w:sz w:val="28"/>
          <w:szCs w:val="28"/>
        </w:rPr>
        <w:t xml:space="preserve"> The platform calls for the return to the “Socialist path of development,” the Soviet system of government, and state form of property.”</w:t>
      </w:r>
      <w:r w:rsidR="002C1FA7" w:rsidRPr="00265343">
        <w:rPr>
          <w:rFonts w:ascii="Times" w:hAnsi="Times" w:cs="Times"/>
          <w:sz w:val="28"/>
          <w:szCs w:val="28"/>
        </w:rPr>
        <w:t xml:space="preserve"> In V-Party (2020), 4 experts identify leader party’s ideology as “Left” (-2.432) in 1995.</w:t>
      </w:r>
    </w:p>
    <w:p w14:paraId="01AAF35F" w14:textId="7ACA86C6" w:rsidR="00A8367E" w:rsidRPr="00265343" w:rsidRDefault="00A8367E" w:rsidP="00C75FB3">
      <w:pPr>
        <w:tabs>
          <w:tab w:val="left" w:pos="1311"/>
        </w:tabs>
        <w:jc w:val="both"/>
        <w:rPr>
          <w:sz w:val="28"/>
          <w:szCs w:val="28"/>
        </w:rPr>
      </w:pPr>
    </w:p>
    <w:p w14:paraId="5A0203AC" w14:textId="15744C24" w:rsidR="00D20E3A" w:rsidRPr="00265343" w:rsidRDefault="00D20E3A" w:rsidP="00C75FB3">
      <w:pPr>
        <w:jc w:val="both"/>
        <w:rPr>
          <w:sz w:val="28"/>
          <w:szCs w:val="28"/>
        </w:rPr>
      </w:pPr>
      <w:r w:rsidRPr="00265343">
        <w:rPr>
          <w:sz w:val="28"/>
          <w:szCs w:val="28"/>
        </w:rPr>
        <w:t>Years:</w:t>
      </w:r>
      <w:r w:rsidR="00C75FB3" w:rsidRPr="00265343">
        <w:rPr>
          <w:sz w:val="28"/>
          <w:szCs w:val="28"/>
        </w:rPr>
        <w:t xml:space="preserve"> 1992-20</w:t>
      </w:r>
      <w:r w:rsidR="00FA11CF" w:rsidRPr="00265343">
        <w:rPr>
          <w:sz w:val="28"/>
          <w:szCs w:val="28"/>
        </w:rPr>
        <w:t>20</w:t>
      </w:r>
    </w:p>
    <w:p w14:paraId="1A53C962" w14:textId="6E0EDE27" w:rsidR="00D20E3A" w:rsidRPr="00265343" w:rsidRDefault="00C75FB3" w:rsidP="00C75FB3">
      <w:pPr>
        <w:jc w:val="both"/>
        <w:rPr>
          <w:color w:val="000000"/>
          <w:sz w:val="28"/>
          <w:szCs w:val="28"/>
        </w:rPr>
      </w:pPr>
      <w:r w:rsidRPr="00265343">
        <w:rPr>
          <w:sz w:val="28"/>
          <w:szCs w:val="28"/>
        </w:rPr>
        <w:t>Leader</w:t>
      </w:r>
      <w:r w:rsidR="00D20E3A" w:rsidRPr="00265343">
        <w:rPr>
          <w:sz w:val="28"/>
          <w:szCs w:val="28"/>
        </w:rPr>
        <w:t xml:space="preserve">: </w:t>
      </w:r>
      <w:r w:rsidR="00D20E3A" w:rsidRPr="00265343">
        <w:rPr>
          <w:color w:val="000000"/>
          <w:sz w:val="28"/>
          <w:szCs w:val="28"/>
        </w:rPr>
        <w:t>Imomalii Rakhmon</w:t>
      </w:r>
    </w:p>
    <w:p w14:paraId="061E73B2" w14:textId="44CF8C29" w:rsidR="00D20E3A" w:rsidRPr="00265343" w:rsidRDefault="00D20E3A" w:rsidP="00C75FB3">
      <w:pPr>
        <w:jc w:val="both"/>
        <w:rPr>
          <w:sz w:val="28"/>
          <w:szCs w:val="28"/>
        </w:rPr>
      </w:pPr>
      <w:r w:rsidRPr="00265343">
        <w:rPr>
          <w:sz w:val="28"/>
          <w:szCs w:val="28"/>
        </w:rPr>
        <w:t xml:space="preserve">Ideology: </w:t>
      </w:r>
      <w:r w:rsidR="004D71FE" w:rsidRPr="00265343">
        <w:rPr>
          <w:sz w:val="28"/>
          <w:szCs w:val="28"/>
        </w:rPr>
        <w:t>left</w:t>
      </w:r>
    </w:p>
    <w:p w14:paraId="5BA155CE" w14:textId="327DB008" w:rsidR="004A5E65" w:rsidRPr="00265343" w:rsidRDefault="00D20E3A" w:rsidP="004A5E65">
      <w:pPr>
        <w:jc w:val="both"/>
        <w:rPr>
          <w:sz w:val="28"/>
          <w:szCs w:val="28"/>
        </w:rPr>
      </w:pPr>
      <w:r w:rsidRPr="00265343">
        <w:rPr>
          <w:sz w:val="28"/>
          <w:szCs w:val="28"/>
        </w:rPr>
        <w:t xml:space="preserve">Description: </w:t>
      </w:r>
      <w:r w:rsidR="00B4503D" w:rsidRPr="00265343">
        <w:rPr>
          <w:sz w:val="28"/>
          <w:szCs w:val="28"/>
        </w:rPr>
        <w:t>HoG does not identify ideology. CHISOLS identifies Rakhmon’s party as the People’s Democratic Party of Tajikistan (</w:t>
      </w:r>
      <w:r w:rsidR="00B4503D" w:rsidRPr="00265343">
        <w:rPr>
          <w:rStyle w:val="HTMLTypewriter"/>
          <w:rFonts w:ascii="Times New Roman" w:eastAsiaTheme="minorHAnsi" w:hAnsi="Times New Roman" w:cs="Times New Roman"/>
          <w:sz w:val="28"/>
          <w:szCs w:val="28"/>
        </w:rPr>
        <w:t>Hizbi Khalqi-Demokrati Tojikiston</w:t>
      </w:r>
      <w:r w:rsidR="00B4503D" w:rsidRPr="00265343">
        <w:rPr>
          <w:sz w:val="28"/>
          <w:szCs w:val="28"/>
        </w:rPr>
        <w:t xml:space="preserve"> - </w:t>
      </w:r>
      <w:r w:rsidR="00B4503D" w:rsidRPr="00265343">
        <w:rPr>
          <w:i/>
          <w:sz w:val="28"/>
          <w:szCs w:val="28"/>
        </w:rPr>
        <w:t>PDPT</w:t>
      </w:r>
      <w:r w:rsidR="00B4503D" w:rsidRPr="00265343">
        <w:rPr>
          <w:sz w:val="28"/>
          <w:szCs w:val="28"/>
        </w:rPr>
        <w:t>). DPI identifies HDKT</w:t>
      </w:r>
      <w:r w:rsidR="00771192">
        <w:rPr>
          <w:sz w:val="28"/>
          <w:szCs w:val="28"/>
        </w:rPr>
        <w:t>/PDPT</w:t>
      </w:r>
      <w:r w:rsidR="00B4503D" w:rsidRPr="00265343">
        <w:rPr>
          <w:sz w:val="28"/>
          <w:szCs w:val="28"/>
        </w:rPr>
        <w:t xml:space="preserve">’s ideology as leftist. Political Handbook of the World (2015: 1432) elaborates, writing that </w:t>
      </w:r>
      <w:r w:rsidR="00B4503D" w:rsidRPr="00265343">
        <w:rPr>
          <w:rFonts w:eastAsia="Times New Roman"/>
          <w:sz w:val="28"/>
          <w:szCs w:val="28"/>
        </w:rPr>
        <w:t xml:space="preserve">“the People's Party of Tajikistan (PPT) by a group of northern business interests centered in Khujand, the PDPT includes in its membership many former Soviet-era Communists”. </w:t>
      </w:r>
      <w:r w:rsidR="00B4503D" w:rsidRPr="00265343">
        <w:rPr>
          <w:sz w:val="28"/>
          <w:szCs w:val="28"/>
        </w:rPr>
        <w:t>Political Handbook of the World (2015: 1432) identifies Rakhmon’s ideology as leftist, writing that “the PDPT includes in its membership many former Soviet-era communists, including President Rahmon”.  Manzano (2017) later identifies ideology as leftist.</w:t>
      </w:r>
      <w:r w:rsidR="003452E8" w:rsidRPr="00265343">
        <w:rPr>
          <w:sz w:val="28"/>
          <w:szCs w:val="28"/>
        </w:rPr>
        <w:t xml:space="preserve"> Lentz (1994: 741) writes that “[Rakhmon] was a former member of the Communist party”.</w:t>
      </w:r>
      <w:r w:rsidR="003A1758" w:rsidRPr="00265343">
        <w:rPr>
          <w:sz w:val="28"/>
          <w:szCs w:val="28"/>
        </w:rPr>
        <w:t xml:space="preserve"> In the Global Party Survey 2019, 5 experts identify the average left-right (0-10) score of the People’s Democratic Party (PDP) as 3.3</w:t>
      </w:r>
      <w:r w:rsidR="00625A83" w:rsidRPr="00265343">
        <w:rPr>
          <w:sz w:val="28"/>
          <w:szCs w:val="28"/>
        </w:rPr>
        <w:t xml:space="preserve">. </w:t>
      </w:r>
      <w:r w:rsidR="00CC52CF" w:rsidRPr="00265343">
        <w:rPr>
          <w:sz w:val="28"/>
          <w:szCs w:val="28"/>
        </w:rPr>
        <w:t>Gretsky &amp; Kangas (2006: 1319) write that “</w:t>
      </w:r>
      <w:r w:rsidR="00CC52CF" w:rsidRPr="00265343">
        <w:rPr>
          <w:rFonts w:ascii="Times" w:hAnsi="Times"/>
          <w:sz w:val="28"/>
          <w:szCs w:val="28"/>
        </w:rPr>
        <w:t>The [PDPT’s] goal is to strengthen Tajikistan’s independence, build a secular democratic country with the strict separation of powers, balance regional interests, and implement market-oriented economic reforms.</w:t>
      </w:r>
      <w:r w:rsidR="002C1FA7" w:rsidRPr="00265343">
        <w:rPr>
          <w:rFonts w:ascii="Times" w:hAnsi="Times" w:cs="Times"/>
          <w:sz w:val="28"/>
          <w:szCs w:val="28"/>
        </w:rPr>
        <w:t xml:space="preserve"> In V-Party (2020), 4 experts identify leader party’s ideology as “Center-left” (-1.412) in 1995, “Center-left” (-0.504) in 2000, “Center” (0.013) in </w:t>
      </w:r>
      <w:r w:rsidR="002C1FA7" w:rsidRPr="00265343">
        <w:rPr>
          <w:rFonts w:ascii="Times" w:hAnsi="Times" w:cs="Times"/>
          <w:sz w:val="28"/>
          <w:szCs w:val="28"/>
        </w:rPr>
        <w:lastRenderedPageBreak/>
        <w:t>2005, “Center” (0.355) in 2010, and “Center-right” (0.749) in 2015.</w:t>
      </w:r>
      <w:r w:rsidR="00224CCA" w:rsidRPr="00265343">
        <w:rPr>
          <w:noProof/>
          <w:sz w:val="28"/>
          <w:szCs w:val="28"/>
        </w:rPr>
        <w:t xml:space="preserve"> In V-Party (2020), 4 experts identify head of government party’s cohesion as “Negligible visible disagreement” in 1995 and 2000, and “Virtually no visible disagreement” in 2005, 2010, and 2015.</w:t>
      </w:r>
    </w:p>
    <w:p w14:paraId="4E3B739E" w14:textId="77777777" w:rsidR="000E1C21" w:rsidRPr="00265343" w:rsidRDefault="000E1C21" w:rsidP="00C75FB3">
      <w:pPr>
        <w:jc w:val="both"/>
        <w:rPr>
          <w:sz w:val="28"/>
          <w:szCs w:val="28"/>
        </w:rPr>
      </w:pPr>
    </w:p>
    <w:p w14:paraId="45B5419D" w14:textId="2FB8598E" w:rsidR="00C75FB3" w:rsidRPr="00265343" w:rsidRDefault="00C75FB3" w:rsidP="00C75FB3">
      <w:pPr>
        <w:jc w:val="both"/>
        <w:rPr>
          <w:sz w:val="28"/>
          <w:szCs w:val="28"/>
        </w:rPr>
      </w:pPr>
    </w:p>
    <w:p w14:paraId="59CF5EDF" w14:textId="77777777" w:rsidR="000E1C21" w:rsidRPr="00265343" w:rsidRDefault="000E1C21" w:rsidP="00C75FB3">
      <w:pPr>
        <w:jc w:val="both"/>
        <w:rPr>
          <w:sz w:val="28"/>
          <w:szCs w:val="28"/>
        </w:rPr>
      </w:pPr>
      <w:r w:rsidRPr="00265343">
        <w:rPr>
          <w:sz w:val="28"/>
          <w:szCs w:val="28"/>
        </w:rPr>
        <w:t>References:</w:t>
      </w:r>
    </w:p>
    <w:p w14:paraId="7C643F11" w14:textId="77777777" w:rsidR="0029737D" w:rsidRPr="00265343" w:rsidRDefault="005968A4" w:rsidP="00C75FB3">
      <w:pPr>
        <w:autoSpaceDE w:val="0"/>
        <w:autoSpaceDN w:val="0"/>
        <w:adjustRightInd w:val="0"/>
        <w:jc w:val="both"/>
        <w:rPr>
          <w:sz w:val="28"/>
          <w:szCs w:val="28"/>
        </w:rPr>
      </w:pPr>
      <w:r w:rsidRPr="00265343">
        <w:rPr>
          <w:sz w:val="28"/>
          <w:szCs w:val="28"/>
        </w:rPr>
        <w:t xml:space="preserve">Brambor, Thomas, Johannes Lindvall, and Annika Stjernquist. 2017. The Ideology </w:t>
      </w:r>
    </w:p>
    <w:p w14:paraId="6CA2FB52" w14:textId="2CD4742D" w:rsidR="005968A4" w:rsidRPr="00265343" w:rsidRDefault="005968A4" w:rsidP="00C75FB3">
      <w:pPr>
        <w:autoSpaceDE w:val="0"/>
        <w:autoSpaceDN w:val="0"/>
        <w:adjustRightInd w:val="0"/>
        <w:ind w:left="720"/>
        <w:jc w:val="both"/>
        <w:rPr>
          <w:sz w:val="28"/>
          <w:szCs w:val="28"/>
        </w:rPr>
      </w:pPr>
      <w:r w:rsidRPr="00265343">
        <w:rPr>
          <w:sz w:val="28"/>
          <w:szCs w:val="28"/>
        </w:rPr>
        <w:t>of Heads of Government, 1870-2012. Version 1.5. Department of Political Science, Lund University.</w:t>
      </w:r>
    </w:p>
    <w:p w14:paraId="56E0FB79" w14:textId="77777777" w:rsidR="009667AB" w:rsidRPr="00265343" w:rsidRDefault="009667AB" w:rsidP="009667AB">
      <w:pPr>
        <w:autoSpaceDE w:val="0"/>
        <w:autoSpaceDN w:val="0"/>
        <w:adjustRightInd w:val="0"/>
        <w:jc w:val="both"/>
        <w:rPr>
          <w:sz w:val="28"/>
          <w:szCs w:val="28"/>
        </w:rPr>
      </w:pPr>
      <w:r w:rsidRPr="00265343">
        <w:rPr>
          <w:sz w:val="28"/>
          <w:szCs w:val="28"/>
          <w:lang w:val="es-ES"/>
        </w:rPr>
        <w:t xml:space="preserve">Cruz, Cesi, Philip Keefer, and Carlos Scartascini. </w:t>
      </w:r>
      <w:r w:rsidRPr="00265343">
        <w:rPr>
          <w:sz w:val="28"/>
          <w:szCs w:val="28"/>
        </w:rPr>
        <w:t xml:space="preserve">2018. Database of Political </w:t>
      </w:r>
    </w:p>
    <w:p w14:paraId="7B250941" w14:textId="2391668F" w:rsidR="009667AB" w:rsidRPr="00265343" w:rsidRDefault="009667AB" w:rsidP="009667AB">
      <w:pPr>
        <w:autoSpaceDE w:val="0"/>
        <w:autoSpaceDN w:val="0"/>
        <w:adjustRightInd w:val="0"/>
        <w:ind w:left="720"/>
        <w:jc w:val="both"/>
        <w:rPr>
          <w:sz w:val="28"/>
          <w:szCs w:val="28"/>
        </w:rPr>
      </w:pPr>
      <w:r w:rsidRPr="00265343">
        <w:rPr>
          <w:sz w:val="28"/>
          <w:szCs w:val="28"/>
        </w:rPr>
        <w:t>Institutions (DPI2017). Inter-American Development Bank. Numbers for Development.</w:t>
      </w:r>
    </w:p>
    <w:p w14:paraId="35456338" w14:textId="77777777" w:rsidR="00CC52CF" w:rsidRPr="00265343" w:rsidRDefault="00CC52CF" w:rsidP="00CC52CF">
      <w:pPr>
        <w:rPr>
          <w:sz w:val="28"/>
          <w:szCs w:val="28"/>
        </w:rPr>
      </w:pPr>
      <w:r w:rsidRPr="00265343">
        <w:rPr>
          <w:sz w:val="28"/>
          <w:szCs w:val="28"/>
        </w:rPr>
        <w:t xml:space="preserve">Gretsky, Sergei, and Roger D. Kangas. 2006. Republic of Tajikistan. In: Neil </w:t>
      </w:r>
    </w:p>
    <w:p w14:paraId="41FC394E" w14:textId="77777777" w:rsidR="00CC52CF" w:rsidRPr="00265343" w:rsidRDefault="00CC52CF" w:rsidP="00CC52CF">
      <w:pPr>
        <w:ind w:firstLine="720"/>
        <w:rPr>
          <w:sz w:val="28"/>
          <w:szCs w:val="28"/>
        </w:rPr>
      </w:pPr>
      <w:r w:rsidRPr="00265343">
        <w:rPr>
          <w:sz w:val="28"/>
          <w:szCs w:val="28"/>
        </w:rPr>
        <w:t xml:space="preserve">Schlager and Jayne Weisblatt. World Encyclopedia of Political Systems and </w:t>
      </w:r>
    </w:p>
    <w:p w14:paraId="1ED38FEE" w14:textId="0A8FE85E" w:rsidR="00CC52CF" w:rsidRPr="00265343" w:rsidRDefault="00CC52CF" w:rsidP="00CC52CF">
      <w:pPr>
        <w:ind w:firstLine="720"/>
        <w:rPr>
          <w:rFonts w:eastAsia="Times New Roman"/>
          <w:sz w:val="28"/>
          <w:szCs w:val="28"/>
        </w:rPr>
      </w:pPr>
      <w:r w:rsidRPr="00265343">
        <w:rPr>
          <w:sz w:val="28"/>
          <w:szCs w:val="28"/>
        </w:rPr>
        <w:t>Parties. Facts on File: 1316-1321.</w:t>
      </w:r>
    </w:p>
    <w:p w14:paraId="72E17AAD" w14:textId="6F4509D9" w:rsidR="003452E8" w:rsidRPr="00265343" w:rsidRDefault="003452E8" w:rsidP="003452E8">
      <w:pPr>
        <w:rPr>
          <w:rFonts w:eastAsia="Times New Roman"/>
          <w:sz w:val="28"/>
          <w:szCs w:val="28"/>
        </w:rPr>
      </w:pPr>
      <w:r w:rsidRPr="00265343">
        <w:rPr>
          <w:rFonts w:eastAsia="Times New Roman"/>
          <w:sz w:val="28"/>
          <w:szCs w:val="28"/>
        </w:rPr>
        <w:t>Lentz, Harris. 1994. Heads of States and Governments Since 1945.</w:t>
      </w:r>
    </w:p>
    <w:p w14:paraId="6ED6F5E8" w14:textId="77777777" w:rsidR="0029737D" w:rsidRPr="00265343" w:rsidRDefault="005968A4" w:rsidP="00C75FB3">
      <w:pPr>
        <w:autoSpaceDE w:val="0"/>
        <w:autoSpaceDN w:val="0"/>
        <w:adjustRightInd w:val="0"/>
        <w:jc w:val="both"/>
        <w:rPr>
          <w:sz w:val="28"/>
          <w:szCs w:val="28"/>
        </w:rPr>
      </w:pPr>
      <w:r w:rsidRPr="00265343">
        <w:rPr>
          <w:sz w:val="28"/>
          <w:szCs w:val="28"/>
        </w:rPr>
        <w:t xml:space="preserve">Mattes, Michaela, Leeds, Brett, and Naoko Matsumura. 2016. Measuring change in </w:t>
      </w:r>
    </w:p>
    <w:p w14:paraId="4390747F" w14:textId="47A4A783" w:rsidR="005968A4" w:rsidRPr="00265343" w:rsidRDefault="005968A4" w:rsidP="00C75FB3">
      <w:pPr>
        <w:autoSpaceDE w:val="0"/>
        <w:autoSpaceDN w:val="0"/>
        <w:adjustRightInd w:val="0"/>
        <w:ind w:left="720"/>
        <w:jc w:val="both"/>
        <w:rPr>
          <w:sz w:val="28"/>
          <w:szCs w:val="28"/>
        </w:rPr>
      </w:pPr>
      <w:r w:rsidRPr="00265343">
        <w:rPr>
          <w:sz w:val="28"/>
          <w:szCs w:val="28"/>
        </w:rPr>
        <w:t xml:space="preserve">source of leader support: The CHISOLS dataset. Journal of Peace Research 53(2): 259-267. </w:t>
      </w:r>
    </w:p>
    <w:p w14:paraId="0EF7FC0B" w14:textId="77777777" w:rsidR="009667AB" w:rsidRPr="00265343" w:rsidRDefault="009667AB" w:rsidP="009667AB">
      <w:pPr>
        <w:rPr>
          <w:rFonts w:eastAsia="Times New Roman"/>
          <w:sz w:val="28"/>
          <w:szCs w:val="28"/>
        </w:rPr>
      </w:pPr>
      <w:r w:rsidRPr="00265343">
        <w:rPr>
          <w:rFonts w:eastAsia="Times New Roman"/>
          <w:sz w:val="28"/>
          <w:szCs w:val="28"/>
        </w:rPr>
        <w:t xml:space="preserve">Manzano, Dulce. 2017. Bringing Down the Educational Wall: Political Regimes, </w:t>
      </w:r>
    </w:p>
    <w:p w14:paraId="5BB1D35A" w14:textId="5006113D" w:rsidR="00A3495D" w:rsidRPr="00265343" w:rsidRDefault="009667AB" w:rsidP="00A3495D">
      <w:pPr>
        <w:ind w:firstLine="720"/>
        <w:rPr>
          <w:rFonts w:eastAsia="Times New Roman"/>
          <w:sz w:val="28"/>
          <w:szCs w:val="28"/>
        </w:rPr>
      </w:pPr>
      <w:r w:rsidRPr="00265343">
        <w:rPr>
          <w:rFonts w:eastAsia="Times New Roman"/>
          <w:sz w:val="28"/>
          <w:szCs w:val="28"/>
        </w:rPr>
        <w:t>Ideology, and the Expansion of Education. Cambridge.</w:t>
      </w:r>
    </w:p>
    <w:p w14:paraId="3A96BE26" w14:textId="77777777" w:rsidR="00DA0A25" w:rsidRPr="00265343" w:rsidRDefault="00DA0A25" w:rsidP="00DA0A25">
      <w:pPr>
        <w:autoSpaceDE w:val="0"/>
        <w:autoSpaceDN w:val="0"/>
        <w:adjustRightInd w:val="0"/>
        <w:rPr>
          <w:sz w:val="28"/>
          <w:szCs w:val="28"/>
        </w:rPr>
      </w:pPr>
      <w:r w:rsidRPr="00265343">
        <w:rPr>
          <w:sz w:val="28"/>
          <w:szCs w:val="28"/>
        </w:rPr>
        <w:t xml:space="preserve">Mattes, Michaela, Leeds, Brett, and Naoko Matsumura. 2016. Measuring change in </w:t>
      </w:r>
    </w:p>
    <w:p w14:paraId="44098FD8" w14:textId="77777777" w:rsidR="00DA0A25" w:rsidRPr="00265343" w:rsidRDefault="00DA0A25" w:rsidP="00DA0A25">
      <w:pPr>
        <w:autoSpaceDE w:val="0"/>
        <w:autoSpaceDN w:val="0"/>
        <w:adjustRightInd w:val="0"/>
        <w:ind w:firstLine="720"/>
        <w:rPr>
          <w:sz w:val="28"/>
          <w:szCs w:val="28"/>
        </w:rPr>
      </w:pPr>
      <w:r w:rsidRPr="00265343">
        <w:rPr>
          <w:sz w:val="28"/>
          <w:szCs w:val="28"/>
        </w:rPr>
        <w:t xml:space="preserve">source of leader support: The CHISOLS dataset. Journal of Peace Research </w:t>
      </w:r>
    </w:p>
    <w:p w14:paraId="2C6BB1F5" w14:textId="37448BAF" w:rsidR="00DA0A25" w:rsidRPr="00265343" w:rsidRDefault="00DA0A25" w:rsidP="00DA0A25">
      <w:pPr>
        <w:ind w:firstLine="720"/>
        <w:rPr>
          <w:sz w:val="28"/>
          <w:szCs w:val="28"/>
        </w:rPr>
      </w:pPr>
      <w:r w:rsidRPr="00265343">
        <w:rPr>
          <w:sz w:val="28"/>
          <w:szCs w:val="28"/>
        </w:rPr>
        <w:t>53(2): 259-267.</w:t>
      </w:r>
    </w:p>
    <w:p w14:paraId="6F6B35A6" w14:textId="77777777" w:rsidR="003A1758" w:rsidRPr="00265343" w:rsidRDefault="003A1758" w:rsidP="003A1758">
      <w:pPr>
        <w:jc w:val="both"/>
        <w:rPr>
          <w:sz w:val="28"/>
          <w:szCs w:val="28"/>
        </w:rPr>
      </w:pPr>
      <w:r w:rsidRPr="00265343">
        <w:rPr>
          <w:sz w:val="28"/>
          <w:szCs w:val="28"/>
        </w:rPr>
        <w:t xml:space="preserve">Norris, Pippa. 2020. Global Party Survey dataset. </w:t>
      </w:r>
    </w:p>
    <w:p w14:paraId="46316136" w14:textId="3EFB1D64" w:rsidR="003A1758" w:rsidRPr="00265343" w:rsidRDefault="003A1758" w:rsidP="003A1758">
      <w:pPr>
        <w:ind w:firstLine="720"/>
        <w:jc w:val="both"/>
        <w:rPr>
          <w:sz w:val="28"/>
          <w:szCs w:val="28"/>
        </w:rPr>
      </w:pPr>
      <w:r w:rsidRPr="00265343">
        <w:rPr>
          <w:color w:val="0B4CB4"/>
          <w:sz w:val="28"/>
          <w:szCs w:val="28"/>
        </w:rPr>
        <w:t>https://dataverse.harvard.edu/dataverse/GlobalPartySurvey</w:t>
      </w:r>
    </w:p>
    <w:p w14:paraId="7B17AC97" w14:textId="01124E4F" w:rsidR="00A3495D" w:rsidRPr="00265343" w:rsidRDefault="00A3495D" w:rsidP="00A3495D">
      <w:pPr>
        <w:autoSpaceDE w:val="0"/>
        <w:autoSpaceDN w:val="0"/>
        <w:adjustRightInd w:val="0"/>
        <w:jc w:val="both"/>
        <w:rPr>
          <w:sz w:val="28"/>
          <w:szCs w:val="28"/>
        </w:rPr>
      </w:pPr>
      <w:r w:rsidRPr="00265343">
        <w:rPr>
          <w:sz w:val="28"/>
          <w:szCs w:val="28"/>
        </w:rPr>
        <w:t>"Tajikistan." In </w:t>
      </w:r>
      <w:r w:rsidRPr="00265343">
        <w:rPr>
          <w:i/>
          <w:iCs/>
          <w:sz w:val="28"/>
          <w:szCs w:val="28"/>
        </w:rPr>
        <w:t>Political Handbook of the World 2015</w:t>
      </w:r>
      <w:r w:rsidRPr="00265343">
        <w:rPr>
          <w:sz w:val="28"/>
          <w:szCs w:val="28"/>
        </w:rPr>
        <w:t xml:space="preserve">, edited by Thomas </w:t>
      </w:r>
    </w:p>
    <w:p w14:paraId="3710DD27" w14:textId="75B3592C" w:rsidR="00C75FB3" w:rsidRPr="0029737D" w:rsidRDefault="00A3495D" w:rsidP="007510FA">
      <w:pPr>
        <w:ind w:firstLine="720"/>
        <w:jc w:val="both"/>
        <w:rPr>
          <w:sz w:val="28"/>
          <w:szCs w:val="28"/>
        </w:rPr>
      </w:pPr>
      <w:r w:rsidRPr="00265343">
        <w:rPr>
          <w:sz w:val="28"/>
          <w:szCs w:val="28"/>
        </w:rPr>
        <w:t>Lansford, 1428-1435. Washington, DC: CQ Press, 2015.</w:t>
      </w:r>
    </w:p>
    <w:p w14:paraId="1890AE8E" w14:textId="64C98C89" w:rsidR="008737A3" w:rsidRPr="0029737D" w:rsidRDefault="008737A3" w:rsidP="00C75FB3">
      <w:pPr>
        <w:ind w:firstLine="720"/>
        <w:jc w:val="both"/>
        <w:rPr>
          <w:rFonts w:eastAsia="Times New Roman"/>
          <w:sz w:val="28"/>
          <w:szCs w:val="28"/>
        </w:rPr>
      </w:pPr>
    </w:p>
    <w:sectPr w:rsidR="008737A3" w:rsidRPr="0029737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C6667"/>
    <w:multiLevelType w:val="hybridMultilevel"/>
    <w:tmpl w:val="62FC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6134"/>
    <w:rsid w:val="00037B05"/>
    <w:rsid w:val="00082CB2"/>
    <w:rsid w:val="000A3657"/>
    <w:rsid w:val="000E1C21"/>
    <w:rsid w:val="000F5E91"/>
    <w:rsid w:val="00107F6E"/>
    <w:rsid w:val="00192A99"/>
    <w:rsid w:val="0019676E"/>
    <w:rsid w:val="001F0DDF"/>
    <w:rsid w:val="001F7AAF"/>
    <w:rsid w:val="0022250F"/>
    <w:rsid w:val="00224CCA"/>
    <w:rsid w:val="00234DFC"/>
    <w:rsid w:val="00243890"/>
    <w:rsid w:val="00265343"/>
    <w:rsid w:val="002844C2"/>
    <w:rsid w:val="0029737D"/>
    <w:rsid w:val="002C1FA7"/>
    <w:rsid w:val="002F3C87"/>
    <w:rsid w:val="003452E8"/>
    <w:rsid w:val="00397A50"/>
    <w:rsid w:val="003A1758"/>
    <w:rsid w:val="003B05EA"/>
    <w:rsid w:val="00412C86"/>
    <w:rsid w:val="004A5E65"/>
    <w:rsid w:val="004D71FE"/>
    <w:rsid w:val="00505737"/>
    <w:rsid w:val="005349C3"/>
    <w:rsid w:val="00546C19"/>
    <w:rsid w:val="005650AA"/>
    <w:rsid w:val="005968A4"/>
    <w:rsid w:val="005D3B1A"/>
    <w:rsid w:val="005D6073"/>
    <w:rsid w:val="00602061"/>
    <w:rsid w:val="00625A83"/>
    <w:rsid w:val="006C2EE9"/>
    <w:rsid w:val="006E3510"/>
    <w:rsid w:val="00705CFF"/>
    <w:rsid w:val="007509D6"/>
    <w:rsid w:val="007510FA"/>
    <w:rsid w:val="00771192"/>
    <w:rsid w:val="007C4E88"/>
    <w:rsid w:val="007D7523"/>
    <w:rsid w:val="008737A3"/>
    <w:rsid w:val="008C033A"/>
    <w:rsid w:val="009019DD"/>
    <w:rsid w:val="00902757"/>
    <w:rsid w:val="009631CC"/>
    <w:rsid w:val="009667AB"/>
    <w:rsid w:val="009E4FED"/>
    <w:rsid w:val="009F1820"/>
    <w:rsid w:val="00A1065C"/>
    <w:rsid w:val="00A13001"/>
    <w:rsid w:val="00A3495D"/>
    <w:rsid w:val="00A651B6"/>
    <w:rsid w:val="00A8367E"/>
    <w:rsid w:val="00AD6A0D"/>
    <w:rsid w:val="00B4503D"/>
    <w:rsid w:val="00B75F12"/>
    <w:rsid w:val="00BE3D21"/>
    <w:rsid w:val="00C75FB3"/>
    <w:rsid w:val="00CA4AE2"/>
    <w:rsid w:val="00CC52CF"/>
    <w:rsid w:val="00CD70C8"/>
    <w:rsid w:val="00D20E3A"/>
    <w:rsid w:val="00D621A6"/>
    <w:rsid w:val="00DA0A25"/>
    <w:rsid w:val="00DA495F"/>
    <w:rsid w:val="00DB268A"/>
    <w:rsid w:val="00DB7611"/>
    <w:rsid w:val="00DC1E01"/>
    <w:rsid w:val="00DD3CAA"/>
    <w:rsid w:val="00E26C71"/>
    <w:rsid w:val="00E32710"/>
    <w:rsid w:val="00E521D4"/>
    <w:rsid w:val="00E77BD7"/>
    <w:rsid w:val="00E95D1C"/>
    <w:rsid w:val="00EC08D3"/>
    <w:rsid w:val="00EC6F90"/>
    <w:rsid w:val="00ED00D7"/>
    <w:rsid w:val="00FA11CF"/>
    <w:rsid w:val="00FA4585"/>
    <w:rsid w:val="00FD0CBA"/>
    <w:rsid w:val="00FD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37A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7F6E"/>
    <w:rPr>
      <w:i/>
      <w:iCs/>
    </w:rPr>
  </w:style>
  <w:style w:type="character" w:styleId="HTMLTypewriter">
    <w:name w:val="HTML Typewriter"/>
    <w:basedOn w:val="DefaultParagraphFont"/>
    <w:uiPriority w:val="99"/>
    <w:semiHidden/>
    <w:unhideWhenUsed/>
    <w:rsid w:val="00107F6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05CFF"/>
    <w:rPr>
      <w:sz w:val="16"/>
      <w:szCs w:val="16"/>
    </w:rPr>
  </w:style>
  <w:style w:type="paragraph" w:styleId="CommentText">
    <w:name w:val="annotation text"/>
    <w:basedOn w:val="Normal"/>
    <w:link w:val="CommentTextChar"/>
    <w:uiPriority w:val="99"/>
    <w:unhideWhenUsed/>
    <w:rsid w:val="00705CFF"/>
    <w:rPr>
      <w:rFonts w:eastAsia="Times New Roman"/>
      <w:sz w:val="20"/>
      <w:szCs w:val="20"/>
    </w:rPr>
  </w:style>
  <w:style w:type="character" w:customStyle="1" w:styleId="CommentTextChar">
    <w:name w:val="Comment Text Char"/>
    <w:basedOn w:val="DefaultParagraphFont"/>
    <w:link w:val="CommentText"/>
    <w:uiPriority w:val="99"/>
    <w:rsid w:val="00705C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5CFF"/>
    <w:rPr>
      <w:b/>
      <w:bCs/>
    </w:rPr>
  </w:style>
  <w:style w:type="character" w:customStyle="1" w:styleId="CommentSubjectChar">
    <w:name w:val="Comment Subject Char"/>
    <w:basedOn w:val="CommentTextChar"/>
    <w:link w:val="CommentSubject"/>
    <w:uiPriority w:val="99"/>
    <w:semiHidden/>
    <w:rsid w:val="00705CF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05CFF"/>
    <w:rPr>
      <w:rFonts w:eastAsia="Times New Roman"/>
      <w:sz w:val="18"/>
      <w:szCs w:val="18"/>
    </w:rPr>
  </w:style>
  <w:style w:type="character" w:customStyle="1" w:styleId="BalloonTextChar">
    <w:name w:val="Balloon Text Char"/>
    <w:basedOn w:val="DefaultParagraphFont"/>
    <w:link w:val="BalloonText"/>
    <w:uiPriority w:val="99"/>
    <w:semiHidden/>
    <w:rsid w:val="00705CFF"/>
    <w:rPr>
      <w:rFonts w:ascii="Times New Roman" w:eastAsia="Times New Roman" w:hAnsi="Times New Roman" w:cs="Times New Roman"/>
      <w:sz w:val="18"/>
      <w:szCs w:val="18"/>
    </w:rPr>
  </w:style>
  <w:style w:type="paragraph" w:styleId="ListParagraph">
    <w:name w:val="List Paragraph"/>
    <w:basedOn w:val="Normal"/>
    <w:uiPriority w:val="34"/>
    <w:qFormat/>
    <w:rsid w:val="005968A4"/>
    <w:pPr>
      <w:ind w:left="720"/>
      <w:contextualSpacing/>
    </w:pPr>
    <w:rPr>
      <w:rFonts w:eastAsia="Times New Roman"/>
    </w:rPr>
  </w:style>
  <w:style w:type="character" w:styleId="Hyperlink">
    <w:name w:val="Hyperlink"/>
    <w:basedOn w:val="DefaultParagraphFont"/>
    <w:uiPriority w:val="99"/>
    <w:unhideWhenUsed/>
    <w:rsid w:val="00CD70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600">
      <w:bodyDiv w:val="1"/>
      <w:marLeft w:val="0"/>
      <w:marRight w:val="0"/>
      <w:marTop w:val="0"/>
      <w:marBottom w:val="0"/>
      <w:divBdr>
        <w:top w:val="none" w:sz="0" w:space="0" w:color="auto"/>
        <w:left w:val="none" w:sz="0" w:space="0" w:color="auto"/>
        <w:bottom w:val="none" w:sz="0" w:space="0" w:color="auto"/>
        <w:right w:val="none" w:sz="0" w:space="0" w:color="auto"/>
      </w:divBdr>
    </w:div>
    <w:div w:id="263998953">
      <w:bodyDiv w:val="1"/>
      <w:marLeft w:val="0"/>
      <w:marRight w:val="0"/>
      <w:marTop w:val="0"/>
      <w:marBottom w:val="0"/>
      <w:divBdr>
        <w:top w:val="none" w:sz="0" w:space="0" w:color="auto"/>
        <w:left w:val="none" w:sz="0" w:space="0" w:color="auto"/>
        <w:bottom w:val="none" w:sz="0" w:space="0" w:color="auto"/>
        <w:right w:val="none" w:sz="0" w:space="0" w:color="auto"/>
      </w:divBdr>
      <w:divsChild>
        <w:div w:id="1617448302">
          <w:marLeft w:val="0"/>
          <w:marRight w:val="0"/>
          <w:marTop w:val="0"/>
          <w:marBottom w:val="0"/>
          <w:divBdr>
            <w:top w:val="none" w:sz="0" w:space="0" w:color="auto"/>
            <w:left w:val="none" w:sz="0" w:space="0" w:color="auto"/>
            <w:bottom w:val="none" w:sz="0" w:space="0" w:color="auto"/>
            <w:right w:val="none" w:sz="0" w:space="0" w:color="auto"/>
          </w:divBdr>
        </w:div>
      </w:divsChild>
    </w:div>
    <w:div w:id="392974354">
      <w:bodyDiv w:val="1"/>
      <w:marLeft w:val="0"/>
      <w:marRight w:val="0"/>
      <w:marTop w:val="0"/>
      <w:marBottom w:val="0"/>
      <w:divBdr>
        <w:top w:val="none" w:sz="0" w:space="0" w:color="auto"/>
        <w:left w:val="none" w:sz="0" w:space="0" w:color="auto"/>
        <w:bottom w:val="none" w:sz="0" w:space="0" w:color="auto"/>
        <w:right w:val="none" w:sz="0" w:space="0" w:color="auto"/>
      </w:divBdr>
    </w:div>
    <w:div w:id="444428406">
      <w:bodyDiv w:val="1"/>
      <w:marLeft w:val="0"/>
      <w:marRight w:val="0"/>
      <w:marTop w:val="0"/>
      <w:marBottom w:val="0"/>
      <w:divBdr>
        <w:top w:val="none" w:sz="0" w:space="0" w:color="auto"/>
        <w:left w:val="none" w:sz="0" w:space="0" w:color="auto"/>
        <w:bottom w:val="none" w:sz="0" w:space="0" w:color="auto"/>
        <w:right w:val="none" w:sz="0" w:space="0" w:color="auto"/>
      </w:divBdr>
    </w:div>
    <w:div w:id="618879924">
      <w:bodyDiv w:val="1"/>
      <w:marLeft w:val="0"/>
      <w:marRight w:val="0"/>
      <w:marTop w:val="0"/>
      <w:marBottom w:val="0"/>
      <w:divBdr>
        <w:top w:val="none" w:sz="0" w:space="0" w:color="auto"/>
        <w:left w:val="none" w:sz="0" w:space="0" w:color="auto"/>
        <w:bottom w:val="none" w:sz="0" w:space="0" w:color="auto"/>
        <w:right w:val="none" w:sz="0" w:space="0" w:color="auto"/>
      </w:divBdr>
    </w:div>
    <w:div w:id="712655095">
      <w:bodyDiv w:val="1"/>
      <w:marLeft w:val="0"/>
      <w:marRight w:val="0"/>
      <w:marTop w:val="0"/>
      <w:marBottom w:val="0"/>
      <w:divBdr>
        <w:top w:val="none" w:sz="0" w:space="0" w:color="auto"/>
        <w:left w:val="none" w:sz="0" w:space="0" w:color="auto"/>
        <w:bottom w:val="none" w:sz="0" w:space="0" w:color="auto"/>
        <w:right w:val="none" w:sz="0" w:space="0" w:color="auto"/>
      </w:divBdr>
    </w:div>
    <w:div w:id="721095238">
      <w:bodyDiv w:val="1"/>
      <w:marLeft w:val="0"/>
      <w:marRight w:val="0"/>
      <w:marTop w:val="0"/>
      <w:marBottom w:val="0"/>
      <w:divBdr>
        <w:top w:val="none" w:sz="0" w:space="0" w:color="auto"/>
        <w:left w:val="none" w:sz="0" w:space="0" w:color="auto"/>
        <w:bottom w:val="none" w:sz="0" w:space="0" w:color="auto"/>
        <w:right w:val="none" w:sz="0" w:space="0" w:color="auto"/>
      </w:divBdr>
    </w:div>
    <w:div w:id="963777822">
      <w:bodyDiv w:val="1"/>
      <w:marLeft w:val="0"/>
      <w:marRight w:val="0"/>
      <w:marTop w:val="0"/>
      <w:marBottom w:val="0"/>
      <w:divBdr>
        <w:top w:val="none" w:sz="0" w:space="0" w:color="auto"/>
        <w:left w:val="none" w:sz="0" w:space="0" w:color="auto"/>
        <w:bottom w:val="none" w:sz="0" w:space="0" w:color="auto"/>
        <w:right w:val="none" w:sz="0" w:space="0" w:color="auto"/>
      </w:divBdr>
    </w:div>
    <w:div w:id="1114400266">
      <w:bodyDiv w:val="1"/>
      <w:marLeft w:val="0"/>
      <w:marRight w:val="0"/>
      <w:marTop w:val="0"/>
      <w:marBottom w:val="0"/>
      <w:divBdr>
        <w:top w:val="none" w:sz="0" w:space="0" w:color="auto"/>
        <w:left w:val="none" w:sz="0" w:space="0" w:color="auto"/>
        <w:bottom w:val="none" w:sz="0" w:space="0" w:color="auto"/>
        <w:right w:val="none" w:sz="0" w:space="0" w:color="auto"/>
      </w:divBdr>
    </w:div>
    <w:div w:id="1155341735">
      <w:bodyDiv w:val="1"/>
      <w:marLeft w:val="0"/>
      <w:marRight w:val="0"/>
      <w:marTop w:val="0"/>
      <w:marBottom w:val="0"/>
      <w:divBdr>
        <w:top w:val="none" w:sz="0" w:space="0" w:color="auto"/>
        <w:left w:val="none" w:sz="0" w:space="0" w:color="auto"/>
        <w:bottom w:val="none" w:sz="0" w:space="0" w:color="auto"/>
        <w:right w:val="none" w:sz="0" w:space="0" w:color="auto"/>
      </w:divBdr>
    </w:div>
    <w:div w:id="1176504575">
      <w:bodyDiv w:val="1"/>
      <w:marLeft w:val="0"/>
      <w:marRight w:val="0"/>
      <w:marTop w:val="0"/>
      <w:marBottom w:val="0"/>
      <w:divBdr>
        <w:top w:val="none" w:sz="0" w:space="0" w:color="auto"/>
        <w:left w:val="none" w:sz="0" w:space="0" w:color="auto"/>
        <w:bottom w:val="none" w:sz="0" w:space="0" w:color="auto"/>
        <w:right w:val="none" w:sz="0" w:space="0" w:color="auto"/>
      </w:divBdr>
      <w:divsChild>
        <w:div w:id="1896161497">
          <w:marLeft w:val="0"/>
          <w:marRight w:val="0"/>
          <w:marTop w:val="0"/>
          <w:marBottom w:val="0"/>
          <w:divBdr>
            <w:top w:val="none" w:sz="0" w:space="0" w:color="auto"/>
            <w:left w:val="none" w:sz="0" w:space="0" w:color="auto"/>
            <w:bottom w:val="none" w:sz="0" w:space="0" w:color="auto"/>
            <w:right w:val="none" w:sz="0" w:space="0" w:color="auto"/>
          </w:divBdr>
        </w:div>
      </w:divsChild>
    </w:div>
    <w:div w:id="1318459568">
      <w:bodyDiv w:val="1"/>
      <w:marLeft w:val="0"/>
      <w:marRight w:val="0"/>
      <w:marTop w:val="0"/>
      <w:marBottom w:val="0"/>
      <w:divBdr>
        <w:top w:val="none" w:sz="0" w:space="0" w:color="auto"/>
        <w:left w:val="none" w:sz="0" w:space="0" w:color="auto"/>
        <w:bottom w:val="none" w:sz="0" w:space="0" w:color="auto"/>
        <w:right w:val="none" w:sz="0" w:space="0" w:color="auto"/>
      </w:divBdr>
    </w:div>
    <w:div w:id="1376269831">
      <w:bodyDiv w:val="1"/>
      <w:marLeft w:val="0"/>
      <w:marRight w:val="0"/>
      <w:marTop w:val="0"/>
      <w:marBottom w:val="0"/>
      <w:divBdr>
        <w:top w:val="none" w:sz="0" w:space="0" w:color="auto"/>
        <w:left w:val="none" w:sz="0" w:space="0" w:color="auto"/>
        <w:bottom w:val="none" w:sz="0" w:space="0" w:color="auto"/>
        <w:right w:val="none" w:sz="0" w:space="0" w:color="auto"/>
      </w:divBdr>
    </w:div>
    <w:div w:id="1654993054">
      <w:bodyDiv w:val="1"/>
      <w:marLeft w:val="0"/>
      <w:marRight w:val="0"/>
      <w:marTop w:val="0"/>
      <w:marBottom w:val="0"/>
      <w:divBdr>
        <w:top w:val="none" w:sz="0" w:space="0" w:color="auto"/>
        <w:left w:val="none" w:sz="0" w:space="0" w:color="auto"/>
        <w:bottom w:val="none" w:sz="0" w:space="0" w:color="auto"/>
        <w:right w:val="none" w:sz="0" w:space="0" w:color="auto"/>
      </w:divBdr>
    </w:div>
    <w:div w:id="1754816819">
      <w:bodyDiv w:val="1"/>
      <w:marLeft w:val="0"/>
      <w:marRight w:val="0"/>
      <w:marTop w:val="0"/>
      <w:marBottom w:val="0"/>
      <w:divBdr>
        <w:top w:val="none" w:sz="0" w:space="0" w:color="auto"/>
        <w:left w:val="none" w:sz="0" w:space="0" w:color="auto"/>
        <w:bottom w:val="none" w:sz="0" w:space="0" w:color="auto"/>
        <w:right w:val="none" w:sz="0" w:space="0" w:color="auto"/>
      </w:divBdr>
      <w:divsChild>
        <w:div w:id="105219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19</cp:revision>
  <dcterms:created xsi:type="dcterms:W3CDTF">2020-08-04T18:27:00Z</dcterms:created>
  <dcterms:modified xsi:type="dcterms:W3CDTF">2021-11-18T16:19:00Z</dcterms:modified>
</cp:coreProperties>
</file>